
<file path=[Content_Types].xml><?xml version="1.0" encoding="utf-8"?>
<Types xmlns="http://schemas.openxmlformats.org/package/2006/content-types">
  <Default Extension="png" ContentType="image/png"/>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B535B7">
      <w:pPr>
        <w:spacing w:after="0" w:line="560" w:lineRule="exact"/>
        <w:outlineLvl w:val="0"/>
        <w:rPr>
          <w:sz w:val="32"/>
          <w:szCs w:val="32"/>
        </w:rPr>
      </w:pPr>
      <w:r>
        <w:rPr>
          <w:sz w:val="32"/>
          <w:szCs w:val="32"/>
        </w:rPr>
        <w:t>附件3</w:t>
      </w:r>
    </w:p>
    <w:p w14:paraId="78DA702A">
      <w:pPr>
        <w:adjustRightInd w:val="0"/>
        <w:snapToGrid w:val="0"/>
        <w:spacing w:after="0" w:line="560" w:lineRule="exact"/>
        <w:ind w:firstLine="640" w:firstLineChars="200"/>
        <w:rPr>
          <w:sz w:val="32"/>
          <w:szCs w:val="32"/>
        </w:rPr>
      </w:pPr>
    </w:p>
    <w:p w14:paraId="6F0DEE6C">
      <w:pPr>
        <w:spacing w:after="0" w:line="560" w:lineRule="exact"/>
        <w:ind w:firstLine="880" w:firstLineChars="200"/>
        <w:jc w:val="center"/>
        <w:outlineLvl w:val="0"/>
        <w:rPr>
          <w:sz w:val="44"/>
          <w:szCs w:val="44"/>
        </w:rPr>
      </w:pPr>
      <w:r>
        <w:rPr>
          <w:sz w:val="44"/>
          <w:szCs w:val="44"/>
        </w:rPr>
        <w:t>项目实施报告</w:t>
      </w:r>
    </w:p>
    <w:p w14:paraId="0480861F">
      <w:pPr>
        <w:numPr>
          <w:ilvl w:val="0"/>
          <w:numId w:val="1"/>
        </w:numPr>
        <w:spacing w:after="0" w:line="560" w:lineRule="exact"/>
        <w:ind w:firstLine="640" w:firstLineChars="200"/>
        <w:outlineLvl w:val="0"/>
        <w:rPr>
          <w:sz w:val="32"/>
          <w:szCs w:val="32"/>
        </w:rPr>
      </w:pPr>
      <w:r>
        <w:rPr>
          <w:sz w:val="32"/>
          <w:szCs w:val="32"/>
        </w:rPr>
        <w:t>项目承担单位概况</w:t>
      </w:r>
    </w:p>
    <w:p w14:paraId="51A6017E">
      <w:pPr>
        <w:spacing w:after="0" w:line="560" w:lineRule="exact"/>
        <w:ind w:firstLine="560" w:firstLineChars="200"/>
        <w:rPr>
          <w:sz w:val="28"/>
          <w:szCs w:val="28"/>
        </w:rPr>
      </w:pPr>
      <w:r>
        <w:rPr>
          <w:sz w:val="28"/>
          <w:szCs w:val="28"/>
        </w:rPr>
        <w:t>四川云从天府人工智能科技有限公司是提供人机协同智能操作系统和解决方案的独角兽企业。公司在双层异构深度神经网络、图像（人脸）识别、自然语言处理、时空复合并行计算技术、时空复合并行计算技术等领域，打通了从感知到认知到决策的全链技术。在人脸识别算法模块上也从2011年就从中国科学院开始研究并取得许多成果。与五大行、三大运营商、公安部、民航总局、中科院、证通股份等成立联合实验室，利用特殊行业非结构化数据资源，训练现有算法模型，不断优化算法模型使之更契合行业发展的深层需求，力争实现相关行业的大数据智能化转变。在行业应用方面，云从科技业务涵盖智慧金融、智慧治理、智慧交通、智慧商业等领域，通过行业领先的人工智能、认知计算与大数据技术形成的整合解决方案，已服务400余家银行14.7万网点、30个省级行政区公安。四川云从2020年中标天府新区数字城市建设项目，该项目基于国产化自主可控的系统，围绕</w:t>
      </w:r>
      <w:r>
        <w:rPr>
          <w:rFonts w:hint="eastAsia"/>
          <w:sz w:val="28"/>
          <w:szCs w:val="28"/>
        </w:rPr>
        <w:t>“</w:t>
      </w:r>
      <w:r>
        <w:rPr>
          <w:sz w:val="28"/>
          <w:szCs w:val="28"/>
        </w:rPr>
        <w:t>四梁四柱</w:t>
      </w:r>
      <w:r>
        <w:rPr>
          <w:rFonts w:hint="eastAsia"/>
          <w:sz w:val="28"/>
          <w:szCs w:val="28"/>
        </w:rPr>
        <w:t>”</w:t>
      </w:r>
      <w:r>
        <w:rPr>
          <w:sz w:val="28"/>
          <w:szCs w:val="28"/>
        </w:rPr>
        <w:t>：天府大脑</w:t>
      </w:r>
      <w:r>
        <w:rPr>
          <w:rFonts w:hint="eastAsia"/>
          <w:sz w:val="28"/>
          <w:szCs w:val="28"/>
        </w:rPr>
        <w:t>“</w:t>
      </w:r>
      <w:r>
        <w:rPr>
          <w:sz w:val="28"/>
          <w:szCs w:val="28"/>
        </w:rPr>
        <w:t>四梁</w:t>
      </w:r>
      <w:r>
        <w:rPr>
          <w:rFonts w:hint="eastAsia"/>
          <w:sz w:val="28"/>
          <w:szCs w:val="28"/>
        </w:rPr>
        <w:t>”</w:t>
      </w:r>
      <w:r>
        <w:rPr>
          <w:sz w:val="28"/>
          <w:szCs w:val="28"/>
        </w:rPr>
        <w:t>：数据治理、人工智能平台、数字孪生平台、物联网平台，让城市更聪明；建好城市运行</w:t>
      </w:r>
      <w:r>
        <w:rPr>
          <w:rFonts w:hint="eastAsia"/>
          <w:sz w:val="28"/>
          <w:szCs w:val="28"/>
        </w:rPr>
        <w:t>“</w:t>
      </w:r>
      <w:r>
        <w:rPr>
          <w:sz w:val="28"/>
          <w:szCs w:val="28"/>
        </w:rPr>
        <w:t>四柱</w:t>
      </w:r>
      <w:r>
        <w:rPr>
          <w:rFonts w:hint="eastAsia"/>
          <w:sz w:val="28"/>
          <w:szCs w:val="28"/>
        </w:rPr>
        <w:t>”</w:t>
      </w:r>
      <w:r>
        <w:rPr>
          <w:sz w:val="28"/>
          <w:szCs w:val="28"/>
        </w:rPr>
        <w:t>：</w:t>
      </w:r>
      <w:r>
        <w:rPr>
          <w:rFonts w:hint="eastAsia"/>
          <w:sz w:val="28"/>
          <w:szCs w:val="28"/>
        </w:rPr>
        <w:t>“</w:t>
      </w:r>
      <w:r>
        <w:rPr>
          <w:sz w:val="28"/>
          <w:szCs w:val="28"/>
        </w:rPr>
        <w:t>人</w:t>
      </w:r>
      <w:r>
        <w:rPr>
          <w:rFonts w:hint="eastAsia"/>
          <w:sz w:val="28"/>
          <w:szCs w:val="28"/>
        </w:rPr>
        <w:t>”</w:t>
      </w:r>
      <w:r>
        <w:rPr>
          <w:sz w:val="28"/>
          <w:szCs w:val="28"/>
        </w:rPr>
        <w:t>、</w:t>
      </w:r>
      <w:r>
        <w:rPr>
          <w:rFonts w:hint="eastAsia"/>
          <w:sz w:val="28"/>
          <w:szCs w:val="28"/>
        </w:rPr>
        <w:t>“</w:t>
      </w:r>
      <w:r>
        <w:rPr>
          <w:sz w:val="28"/>
          <w:szCs w:val="28"/>
        </w:rPr>
        <w:t>城</w:t>
      </w:r>
      <w:r>
        <w:rPr>
          <w:rFonts w:hint="eastAsia"/>
          <w:sz w:val="28"/>
          <w:szCs w:val="28"/>
        </w:rPr>
        <w:t>”</w:t>
      </w:r>
      <w:r>
        <w:rPr>
          <w:sz w:val="28"/>
          <w:szCs w:val="28"/>
        </w:rPr>
        <w:t>、</w:t>
      </w:r>
      <w:r>
        <w:rPr>
          <w:rFonts w:hint="eastAsia"/>
          <w:sz w:val="28"/>
          <w:szCs w:val="28"/>
        </w:rPr>
        <w:t>“</w:t>
      </w:r>
      <w:r>
        <w:rPr>
          <w:sz w:val="28"/>
          <w:szCs w:val="28"/>
        </w:rPr>
        <w:t>境</w:t>
      </w:r>
      <w:r>
        <w:rPr>
          <w:rFonts w:hint="eastAsia"/>
          <w:sz w:val="28"/>
          <w:szCs w:val="28"/>
        </w:rPr>
        <w:t>”</w:t>
      </w:r>
      <w:r>
        <w:rPr>
          <w:sz w:val="28"/>
          <w:szCs w:val="28"/>
        </w:rPr>
        <w:t>、</w:t>
      </w:r>
      <w:r>
        <w:rPr>
          <w:rFonts w:hint="eastAsia"/>
          <w:sz w:val="28"/>
          <w:szCs w:val="28"/>
        </w:rPr>
        <w:t>“</w:t>
      </w:r>
      <w:r>
        <w:rPr>
          <w:sz w:val="28"/>
          <w:szCs w:val="28"/>
        </w:rPr>
        <w:t>业</w:t>
      </w:r>
      <w:r>
        <w:rPr>
          <w:rFonts w:hint="eastAsia"/>
          <w:sz w:val="28"/>
          <w:szCs w:val="28"/>
        </w:rPr>
        <w:t>”</w:t>
      </w:r>
      <w:r>
        <w:rPr>
          <w:sz w:val="28"/>
          <w:szCs w:val="28"/>
        </w:rPr>
        <w:t>的智慧城市应用，让公园城市智慧场景落地。</w:t>
      </w:r>
    </w:p>
    <w:p w14:paraId="68941B62">
      <w:pPr>
        <w:spacing w:after="0" w:line="560" w:lineRule="exact"/>
        <w:ind w:firstLine="640" w:firstLineChars="200"/>
        <w:rPr>
          <w:sz w:val="32"/>
          <w:szCs w:val="32"/>
        </w:rPr>
      </w:pPr>
      <w:r>
        <w:rPr>
          <w:sz w:val="32"/>
          <w:szCs w:val="32"/>
        </w:rPr>
        <w:t>二、项目概况</w:t>
      </w:r>
    </w:p>
    <w:p w14:paraId="14EB6BED">
      <w:pPr>
        <w:snapToGrid w:val="0"/>
        <w:spacing w:after="0" w:line="560" w:lineRule="exact"/>
        <w:ind w:firstLine="640" w:firstLineChars="200"/>
        <w:outlineLvl w:val="1"/>
        <w:rPr>
          <w:color w:val="000000"/>
          <w:sz w:val="32"/>
          <w:szCs w:val="32"/>
        </w:rPr>
      </w:pPr>
      <w:r>
        <w:rPr>
          <w:color w:val="000000"/>
          <w:sz w:val="32"/>
          <w:szCs w:val="32"/>
        </w:rPr>
        <w:t>（一）项目研究内容</w:t>
      </w:r>
    </w:p>
    <w:p w14:paraId="2698171A">
      <w:pPr>
        <w:spacing w:after="0" w:line="560" w:lineRule="exact"/>
        <w:ind w:firstLine="560" w:firstLineChars="200"/>
        <w:rPr>
          <w:sz w:val="28"/>
          <w:szCs w:val="28"/>
        </w:rPr>
      </w:pPr>
      <w:r>
        <w:rPr>
          <w:sz w:val="28"/>
          <w:szCs w:val="28"/>
        </w:rPr>
        <w:t>四川云从天府人工智能科技有限公司作为本项目参与单位，负责面向多模态边缘云计算平台建设，集成智能云计算协同管理，重点解决设备接入管理子模块、算法容器引擎、感知数据解析、算法基础管理、级联管理等，形成人工智能算法应用平台协同工作架构，为项目提供整个管理与工作机制。集成云边端一体化应用，重点搭建云边端的架构，支持纵向级联和横向扩展，支持国产化芯片和关键部件，支持软硬件一体化终端的研究与接入管理，达到硬件设备接入及服务的水准，作为智慧城市的硬件基础，为平台AIoT场景落地提供终端载体</w:t>
      </w:r>
    </w:p>
    <w:p w14:paraId="33BAF62C">
      <w:pPr>
        <w:numPr>
          <w:ilvl w:val="0"/>
          <w:numId w:val="2"/>
        </w:numPr>
        <w:snapToGrid w:val="0"/>
        <w:spacing w:after="0" w:line="560" w:lineRule="exact"/>
        <w:ind w:firstLine="640" w:firstLineChars="200"/>
        <w:outlineLvl w:val="1"/>
        <w:rPr>
          <w:color w:val="000000"/>
          <w:sz w:val="32"/>
          <w:szCs w:val="32"/>
        </w:rPr>
      </w:pPr>
      <w:r>
        <w:rPr>
          <w:color w:val="000000"/>
          <w:sz w:val="32"/>
          <w:szCs w:val="32"/>
        </w:rPr>
        <w:t>项目总体任务和预期目标</w:t>
      </w:r>
    </w:p>
    <w:p w14:paraId="2682B287">
      <w:pPr>
        <w:snapToGrid w:val="0"/>
        <w:spacing w:after="0" w:line="560" w:lineRule="exact"/>
        <w:ind w:firstLine="560" w:firstLineChars="200"/>
        <w:rPr>
          <w:color w:val="000000"/>
          <w:sz w:val="28"/>
          <w:szCs w:val="28"/>
        </w:rPr>
      </w:pPr>
      <w:r>
        <w:rPr>
          <w:rFonts w:hint="eastAsia"/>
          <w:color w:val="000000"/>
          <w:sz w:val="28"/>
          <w:szCs w:val="28"/>
        </w:rPr>
        <w:t xml:space="preserve">1. </w:t>
      </w:r>
      <w:r>
        <w:rPr>
          <w:color w:val="000000"/>
          <w:sz w:val="28"/>
          <w:szCs w:val="28"/>
        </w:rPr>
        <w:t>项目总体任务</w:t>
      </w:r>
    </w:p>
    <w:p w14:paraId="7F07B5E3">
      <w:pPr>
        <w:spacing w:after="0" w:line="560" w:lineRule="exact"/>
        <w:ind w:firstLine="560" w:firstLineChars="200"/>
        <w:rPr>
          <w:sz w:val="28"/>
          <w:szCs w:val="28"/>
        </w:rPr>
      </w:pPr>
      <w:r>
        <w:rPr>
          <w:sz w:val="28"/>
          <w:szCs w:val="28"/>
        </w:rPr>
        <w:t>面向多模态边缘云计算平台，集成智能云计算协同管理，重点解决设备接入管理子模块、算法容器引擎、感知数据解析、系统基础管理、开发者中心、级联管理等，形成人工智能算法应用平台协同工作架构，为任务提供整个管理与工作机制。集聚AI产业，加速行业龙头企业发展。助推人工智能产业能级的整体提升，成为新兴的支柱性产业。赋能传统领域应用，助推产业结构升级改造。</w:t>
      </w:r>
    </w:p>
    <w:p w14:paraId="65D9C54A">
      <w:pPr>
        <w:spacing w:after="0" w:line="560" w:lineRule="exact"/>
        <w:ind w:firstLine="560" w:firstLineChars="200"/>
        <w:rPr>
          <w:sz w:val="28"/>
          <w:szCs w:val="28"/>
        </w:rPr>
      </w:pPr>
      <w:r>
        <w:rPr>
          <w:rFonts w:hint="eastAsia"/>
          <w:sz w:val="28"/>
          <w:szCs w:val="28"/>
        </w:rPr>
        <w:t xml:space="preserve">2. </w:t>
      </w:r>
      <w:r>
        <w:rPr>
          <w:sz w:val="28"/>
          <w:szCs w:val="28"/>
        </w:rPr>
        <w:t>预期目标</w:t>
      </w:r>
    </w:p>
    <w:p w14:paraId="6E72A396">
      <w:pPr>
        <w:spacing w:after="0" w:line="560" w:lineRule="exact"/>
        <w:ind w:firstLine="560" w:firstLineChars="200"/>
        <w:rPr>
          <w:sz w:val="28"/>
          <w:szCs w:val="28"/>
        </w:rPr>
      </w:pPr>
      <w:r>
        <w:rPr>
          <w:color w:val="000000"/>
          <w:sz w:val="28"/>
          <w:szCs w:val="28"/>
        </w:rPr>
        <w:t>（1）主要技术、成果和知识产权等指标</w:t>
      </w:r>
    </w:p>
    <w:p w14:paraId="3EFAAD6D">
      <w:pPr>
        <w:spacing w:after="0" w:line="560" w:lineRule="exact"/>
        <w:ind w:firstLine="560" w:firstLineChars="200"/>
        <w:rPr>
          <w:sz w:val="28"/>
          <w:szCs w:val="28"/>
        </w:rPr>
      </w:pPr>
      <w:r>
        <w:rPr>
          <w:sz w:val="28"/>
          <w:szCs w:val="28"/>
        </w:rPr>
        <w:t>1）研制面向不少于10种场景智能终端的边缘计算软件平台，集成视听觉不少于20种算法模型，多模态融合和音视频协同的响应时延小于200ms，可同时支持100路和100种多媒体终端接入。</w:t>
      </w:r>
    </w:p>
    <w:p w14:paraId="31DBF2DC">
      <w:pPr>
        <w:spacing w:after="0" w:line="560" w:lineRule="exact"/>
        <w:ind w:firstLine="560" w:firstLineChars="200"/>
        <w:rPr>
          <w:sz w:val="28"/>
          <w:szCs w:val="28"/>
        </w:rPr>
      </w:pPr>
      <w:r>
        <w:rPr>
          <w:sz w:val="28"/>
          <w:szCs w:val="28"/>
        </w:rPr>
        <w:t>2）研制统一计算软件架构，支持Tensorflow、Pytorch、Caffe、MXNet等主流深度学习框架，兼容X86、GPU、ARM、RISC-V、ASIC等异构芯片。</w:t>
      </w:r>
    </w:p>
    <w:p w14:paraId="5E00A79B">
      <w:pPr>
        <w:spacing w:after="0" w:line="560" w:lineRule="exact"/>
        <w:ind w:firstLine="560" w:firstLineChars="200"/>
        <w:rPr>
          <w:sz w:val="28"/>
          <w:szCs w:val="28"/>
        </w:rPr>
      </w:pPr>
      <w:r>
        <w:rPr>
          <w:sz w:val="28"/>
          <w:szCs w:val="28"/>
        </w:rPr>
        <w:t>3）支持不少于2层的纵向级联和不少于100个计算节点的横向扩展；实现边缘计算的容器化应用管理，支持实时动态的服务加载与资源回收；集成各类安全软件，实现内容加密、隐私保护、代码可溯源。</w:t>
      </w:r>
    </w:p>
    <w:p w14:paraId="5A2ABC4D">
      <w:pPr>
        <w:spacing w:after="0" w:line="560" w:lineRule="exact"/>
        <w:ind w:firstLine="560" w:firstLineChars="200"/>
        <w:rPr>
          <w:sz w:val="28"/>
          <w:szCs w:val="28"/>
        </w:rPr>
      </w:pPr>
      <w:r>
        <w:rPr>
          <w:color w:val="000000"/>
          <w:sz w:val="28"/>
          <w:szCs w:val="28"/>
        </w:rPr>
        <w:t>（2）经济、社会和环境效益</w:t>
      </w:r>
    </w:p>
    <w:p w14:paraId="3486AB64">
      <w:pPr>
        <w:spacing w:after="0" w:line="560" w:lineRule="exact"/>
        <w:ind w:firstLine="560" w:firstLineChars="200"/>
        <w:rPr>
          <w:sz w:val="28"/>
          <w:szCs w:val="28"/>
        </w:rPr>
      </w:pPr>
      <w:r>
        <w:rPr>
          <w:sz w:val="28"/>
          <w:szCs w:val="28"/>
        </w:rPr>
        <w:t>任务围绕新型基础设施、智慧城市和区域数据中心建设需要，通过研究面向多模态的人工智能云边端一体化、深度学习专用算法等关键技术，构建人工智能算法应用平台协同工作架构，集成人工智能数据能力仓和人工智能训练等系统，实现数据资源动态调度、可扩展、可级联的边缘和云边计算，拓展应用场景，在教育、政务、城市管理、医疗等领域开展应用示范，将形成直接经济效益3000万元。</w:t>
      </w:r>
    </w:p>
    <w:p w14:paraId="2D69F7DE">
      <w:pPr>
        <w:spacing w:after="0" w:line="560" w:lineRule="exact"/>
        <w:ind w:firstLine="560" w:firstLineChars="200"/>
        <w:rPr>
          <w:sz w:val="28"/>
          <w:szCs w:val="28"/>
        </w:rPr>
      </w:pPr>
      <w:r>
        <w:rPr>
          <w:sz w:val="28"/>
          <w:szCs w:val="28"/>
        </w:rPr>
        <w:t>任务实施将有助于形成一批人工智能与经济社会发展深度融合的典型模式，促进人工智能在社会民生领域的广泛应用，打造一批具有重大引领带动作用的人工智能创新高地。</w:t>
      </w:r>
    </w:p>
    <w:p w14:paraId="5556BFA3">
      <w:pPr>
        <w:spacing w:after="0" w:line="560" w:lineRule="exact"/>
        <w:ind w:firstLine="640" w:firstLineChars="200"/>
        <w:outlineLvl w:val="0"/>
        <w:rPr>
          <w:sz w:val="32"/>
          <w:szCs w:val="32"/>
        </w:rPr>
      </w:pPr>
      <w:r>
        <w:rPr>
          <w:sz w:val="32"/>
          <w:szCs w:val="32"/>
        </w:rPr>
        <w:t>二、项目实施效果及合同指标完成情况</w:t>
      </w:r>
    </w:p>
    <w:p w14:paraId="7C02AEB2">
      <w:pPr>
        <w:snapToGrid w:val="0"/>
        <w:spacing w:after="0" w:line="560" w:lineRule="exact"/>
        <w:ind w:firstLine="640" w:firstLineChars="200"/>
        <w:outlineLvl w:val="1"/>
        <w:rPr>
          <w:color w:val="000000"/>
          <w:sz w:val="32"/>
          <w:szCs w:val="32"/>
        </w:rPr>
      </w:pPr>
      <w:r>
        <w:rPr>
          <w:color w:val="000000"/>
          <w:sz w:val="32"/>
          <w:szCs w:val="32"/>
        </w:rPr>
        <w:t>（一）项目总体完成情况及取得的成果、实施的效果综述</w:t>
      </w:r>
    </w:p>
    <w:p w14:paraId="0DF4E4BE">
      <w:pPr>
        <w:autoSpaceDE w:val="0"/>
        <w:autoSpaceDN w:val="0"/>
        <w:spacing w:after="0" w:line="560" w:lineRule="exact"/>
        <w:ind w:firstLine="560" w:firstLineChars="200"/>
        <w:rPr>
          <w:bCs/>
          <w:sz w:val="28"/>
          <w:szCs w:val="28"/>
        </w:rPr>
      </w:pPr>
      <w:r>
        <w:rPr>
          <w:bCs/>
          <w:sz w:val="28"/>
          <w:szCs w:val="28"/>
        </w:rPr>
        <w:t>根据任务书的要求，项目执行情况如下：</w:t>
      </w:r>
    </w:p>
    <w:p w14:paraId="06F80D17">
      <w:pPr>
        <w:numPr>
          <w:ilvl w:val="0"/>
          <w:numId w:val="3"/>
        </w:numPr>
        <w:spacing w:after="0" w:line="560" w:lineRule="exact"/>
        <w:ind w:firstLine="560" w:firstLineChars="200"/>
        <w:rPr>
          <w:sz w:val="28"/>
          <w:szCs w:val="28"/>
        </w:rPr>
      </w:pPr>
      <w:r>
        <w:rPr>
          <w:color w:val="000000"/>
          <w:sz w:val="28"/>
          <w:szCs w:val="28"/>
        </w:rPr>
        <w:t>主要技术、成果和知识产权等指标</w:t>
      </w:r>
    </w:p>
    <w:p w14:paraId="751AEA71">
      <w:pPr>
        <w:spacing w:after="0" w:line="560" w:lineRule="exact"/>
        <w:ind w:firstLine="560" w:firstLineChars="200"/>
        <w:rPr>
          <w:sz w:val="28"/>
          <w:szCs w:val="28"/>
        </w:rPr>
      </w:pPr>
      <w:r>
        <w:rPr>
          <w:sz w:val="28"/>
          <w:szCs w:val="28"/>
        </w:rPr>
        <w:t>（1）研制面向不少于10种场景智能终端的边缘计算软件平台，集成视听觉不少于20种算法模型，多模态融合和音视频协同的响应时延小于200ms，可同时支持100路和100种多媒体终端接入。</w:t>
      </w:r>
    </w:p>
    <w:p w14:paraId="24A0EF02">
      <w:pPr>
        <w:spacing w:after="0" w:line="560" w:lineRule="exact"/>
        <w:ind w:firstLine="560" w:firstLineChars="200"/>
        <w:rPr>
          <w:sz w:val="28"/>
          <w:szCs w:val="28"/>
        </w:rPr>
      </w:pPr>
      <w:r>
        <w:rPr>
          <w:sz w:val="28"/>
          <w:szCs w:val="28"/>
        </w:rPr>
        <w:t>完成情况：研发完成谛格AI定义小站软硬件一体的边缘计算产品，该产品已经在加油站、环保屋、学校食堂、工厂安全生产、出入口疫情防控、银行网点、监控中心、保安室、园区管理、停车场等</w:t>
      </w:r>
      <w:r>
        <w:rPr>
          <w:rFonts w:hint="eastAsia"/>
          <w:sz w:val="28"/>
          <w:szCs w:val="28"/>
          <w:lang w:val="en-US" w:eastAsia="zh-CN"/>
        </w:rPr>
        <w:t>12种</w:t>
      </w:r>
      <w:r>
        <w:rPr>
          <w:sz w:val="28"/>
          <w:szCs w:val="28"/>
        </w:rPr>
        <w:t>场景得到应用；该产品集成了包括离岗报警、玩手机报警、打电话报警、烟火报警、抽烟报警、跌倒报警、垃圾遗留报警、人员聚集报警、区域入侵报警、未带安全帽报警、睡岗报警、未带口罩报警、未带厨师帽报警、人数统计、非机动车报警、未穿厨师服报警、车位占用、人流密度、堆物检测、未戴手套、未穿反光衣报警等</w:t>
      </w:r>
      <w:r>
        <w:rPr>
          <w:rFonts w:hint="eastAsia"/>
          <w:sz w:val="28"/>
          <w:szCs w:val="28"/>
          <w:lang w:val="en-US" w:eastAsia="zh-CN"/>
        </w:rPr>
        <w:t>35</w:t>
      </w:r>
      <w:r>
        <w:rPr>
          <w:sz w:val="28"/>
          <w:szCs w:val="28"/>
        </w:rPr>
        <w:t>种算法</w:t>
      </w:r>
      <w:r>
        <w:rPr>
          <w:rFonts w:hint="eastAsia"/>
          <w:sz w:val="28"/>
          <w:szCs w:val="28"/>
          <w:lang w:val="en-US" w:eastAsia="zh-CN"/>
        </w:rPr>
        <w:t>模型</w:t>
      </w:r>
      <w:r>
        <w:rPr>
          <w:sz w:val="28"/>
          <w:szCs w:val="28"/>
        </w:rPr>
        <w:t>；</w:t>
      </w:r>
      <w:r>
        <w:rPr>
          <w:rFonts w:hint="eastAsia"/>
          <w:sz w:val="28"/>
          <w:szCs w:val="28"/>
        </w:rPr>
        <w:t>多模态融合和视频协同的响应时延测试结果小于200ms</w:t>
      </w:r>
      <w:r>
        <w:rPr>
          <w:sz w:val="28"/>
          <w:szCs w:val="28"/>
        </w:rPr>
        <w:t>；</w:t>
      </w:r>
      <w:r>
        <w:rPr>
          <w:rFonts w:hint="default"/>
          <w:sz w:val="28"/>
          <w:szCs w:val="28"/>
        </w:rPr>
        <w:t>系统接入128路多媒体终端，系统接入138种设备</w:t>
      </w:r>
      <w:r>
        <w:rPr>
          <w:sz w:val="28"/>
          <w:szCs w:val="28"/>
        </w:rPr>
        <w:t>。</w:t>
      </w:r>
    </w:p>
    <w:p w14:paraId="4CFDE03D">
      <w:pPr>
        <w:numPr>
          <w:ilvl w:val="0"/>
          <w:numId w:val="4"/>
        </w:numPr>
        <w:spacing w:after="0" w:line="560" w:lineRule="exact"/>
        <w:ind w:firstLine="560" w:firstLineChars="200"/>
        <w:rPr>
          <w:sz w:val="28"/>
          <w:szCs w:val="28"/>
        </w:rPr>
      </w:pPr>
      <w:r>
        <w:rPr>
          <w:sz w:val="28"/>
          <w:szCs w:val="28"/>
        </w:rPr>
        <w:t>研制统一计算软件架构，支持Tensorflow、Pytorch、Caffe、MXNet等主流深度学习框架，兼容X86、GPU、ARM、RISC-V、ASIC等异构芯片。</w:t>
      </w:r>
    </w:p>
    <w:p w14:paraId="42906D0F">
      <w:pPr>
        <w:pStyle w:val="2"/>
        <w:spacing w:after="0" w:line="560" w:lineRule="exact"/>
        <w:ind w:right="0" w:firstLine="560" w:firstLineChars="200"/>
      </w:pPr>
      <w:r>
        <w:rPr>
          <w:sz w:val="28"/>
          <w:szCs w:val="28"/>
        </w:rPr>
        <w:t>完成情况：</w:t>
      </w:r>
      <w:r>
        <w:rPr>
          <w:rFonts w:hint="default"/>
          <w:sz w:val="28"/>
          <w:szCs w:val="28"/>
        </w:rPr>
        <w:t>系统支持4种主流深度学习框架，包括Tensorflow、Pytorch、Caffe、MXNet；系统支持的芯片包括：X86（Intel（R） Core（TM）i5-11500）、GPU（登临加速卡）、ARM（海思3559A芯片）</w:t>
      </w:r>
      <w:r>
        <w:rPr>
          <w:sz w:val="28"/>
          <w:szCs w:val="28"/>
        </w:rPr>
        <w:t>。</w:t>
      </w:r>
    </w:p>
    <w:p w14:paraId="39B4BDAE">
      <w:pPr>
        <w:numPr>
          <w:ilvl w:val="0"/>
          <w:numId w:val="4"/>
        </w:numPr>
        <w:spacing w:after="0" w:line="560" w:lineRule="exact"/>
        <w:ind w:firstLine="560" w:firstLineChars="200"/>
        <w:rPr>
          <w:sz w:val="28"/>
          <w:szCs w:val="28"/>
        </w:rPr>
      </w:pPr>
      <w:r>
        <w:rPr>
          <w:sz w:val="28"/>
          <w:szCs w:val="28"/>
        </w:rPr>
        <w:t>支持不少于2层的纵向级联和不少于100个计算节点的横向扩展；实现边缘计算的容器化应用管理，支持实时动态的服务加载与资源回收；集成各类安全软件，实现内容加密、隐私保护、代码可溯源。</w:t>
      </w:r>
    </w:p>
    <w:p w14:paraId="65DD7EE5">
      <w:pPr>
        <w:pStyle w:val="2"/>
        <w:spacing w:after="0" w:line="560" w:lineRule="exact"/>
        <w:ind w:right="0" w:firstLine="560" w:firstLineChars="200"/>
        <w:rPr>
          <w:sz w:val="28"/>
          <w:szCs w:val="28"/>
        </w:rPr>
      </w:pPr>
      <w:r>
        <w:rPr>
          <w:sz w:val="28"/>
          <w:szCs w:val="28"/>
        </w:rPr>
        <w:t>完成情况：</w:t>
      </w:r>
      <w:r>
        <w:rPr>
          <w:rFonts w:hint="default"/>
          <w:sz w:val="28"/>
          <w:szCs w:val="28"/>
        </w:rPr>
        <w:t>系统支持3层架构纵向级联，同时支持132个计算节点的横向扩展；系统使用Docker启动运行，支持实时动态的服务加载；停止Docker后，CPU的占用率从75%降到7.3%，实现资源的快速回收；通过加密、授权校验、解密实现数据可用不可见，不流通数据本身，只流通数据的计算结果</w:t>
      </w:r>
      <w:r>
        <w:rPr>
          <w:rFonts w:hint="default"/>
          <w:sz w:val="28"/>
          <w:szCs w:val="28"/>
          <w:lang w:eastAsia="zh-CN"/>
        </w:rPr>
        <w:t>。</w:t>
      </w:r>
      <w:r>
        <w:rPr>
          <w:rFonts w:hint="default"/>
          <w:sz w:val="28"/>
          <w:szCs w:val="28"/>
          <w:lang w:val="en-US" w:eastAsia="zh-CN"/>
        </w:rPr>
        <w:t>系统包含50种边缘端基础AI应用，同时系统支持自动生成的SKU应用套件2974种</w:t>
      </w:r>
      <w:r>
        <w:rPr>
          <w:sz w:val="28"/>
          <w:szCs w:val="28"/>
        </w:rPr>
        <w:t>。</w:t>
      </w:r>
    </w:p>
    <w:p w14:paraId="7D5A0A5A">
      <w:pPr>
        <w:pStyle w:val="2"/>
        <w:numPr>
          <w:ilvl w:val="0"/>
          <w:numId w:val="4"/>
        </w:numPr>
        <w:spacing w:after="0" w:line="560" w:lineRule="exact"/>
        <w:ind w:right="0" w:firstLine="560" w:firstLineChars="200"/>
        <w:rPr>
          <w:sz w:val="28"/>
          <w:szCs w:val="28"/>
        </w:rPr>
      </w:pPr>
      <w:r>
        <w:rPr>
          <w:rFonts w:hint="eastAsia"/>
          <w:sz w:val="28"/>
          <w:szCs w:val="28"/>
        </w:rPr>
        <w:t>知识产权</w:t>
      </w:r>
    </w:p>
    <w:p w14:paraId="024C25DF">
      <w:pPr>
        <w:autoSpaceDE w:val="0"/>
        <w:spacing w:after="0" w:line="560" w:lineRule="exact"/>
        <w:ind w:firstLine="560" w:firstLineChars="200"/>
        <w:rPr>
          <w:rFonts w:eastAsiaTheme="majorEastAsia"/>
          <w:bCs/>
          <w:sz w:val="28"/>
          <w:szCs w:val="28"/>
        </w:rPr>
      </w:pPr>
      <w:r>
        <w:rPr>
          <w:rFonts w:hint="eastAsia" w:eastAsiaTheme="majorEastAsia"/>
          <w:bCs/>
          <w:sz w:val="28"/>
          <w:szCs w:val="28"/>
        </w:rPr>
        <w:t>超额指标</w:t>
      </w:r>
      <w:r>
        <w:rPr>
          <w:rFonts w:eastAsiaTheme="majorEastAsia"/>
          <w:bCs/>
          <w:sz w:val="28"/>
          <w:szCs w:val="28"/>
        </w:rPr>
        <w:t>完成情况：</w:t>
      </w:r>
      <w:r>
        <w:rPr>
          <w:sz w:val="28"/>
          <w:szCs w:val="28"/>
        </w:rPr>
        <w:t>申请或获得发明专利共计</w:t>
      </w:r>
      <w:r>
        <w:rPr>
          <w:rFonts w:hint="eastAsia"/>
          <w:sz w:val="28"/>
          <w:szCs w:val="28"/>
        </w:rPr>
        <w:t>8</w:t>
      </w:r>
      <w:r>
        <w:rPr>
          <w:sz w:val="28"/>
          <w:szCs w:val="28"/>
        </w:rPr>
        <w:t>项，其中授权</w:t>
      </w:r>
      <w:r>
        <w:rPr>
          <w:rFonts w:hint="eastAsia"/>
          <w:sz w:val="28"/>
          <w:szCs w:val="28"/>
        </w:rPr>
        <w:t>5</w:t>
      </w:r>
      <w:r>
        <w:rPr>
          <w:sz w:val="28"/>
          <w:szCs w:val="28"/>
        </w:rPr>
        <w:t>项；</w:t>
      </w:r>
      <w:r>
        <w:rPr>
          <w:rFonts w:eastAsiaTheme="majorEastAsia"/>
          <w:bCs/>
          <w:sz w:val="28"/>
          <w:szCs w:val="28"/>
        </w:rPr>
        <w:t>登记软件著作权4件</w:t>
      </w:r>
      <w:r>
        <w:rPr>
          <w:rFonts w:hint="eastAsia" w:eastAsiaTheme="majorEastAsia"/>
          <w:bCs/>
          <w:sz w:val="28"/>
          <w:szCs w:val="28"/>
        </w:rPr>
        <w:t>；</w:t>
      </w:r>
      <w:r>
        <w:rPr>
          <w:rFonts w:eastAsiaTheme="majorEastAsia"/>
          <w:bCs/>
          <w:sz w:val="28"/>
          <w:szCs w:val="28"/>
        </w:rPr>
        <w:t>团体标准2项</w:t>
      </w:r>
      <w:r>
        <w:rPr>
          <w:rFonts w:hint="eastAsia" w:eastAsiaTheme="majorEastAsia"/>
          <w:bCs/>
          <w:sz w:val="28"/>
          <w:szCs w:val="28"/>
        </w:rPr>
        <w:t>。</w:t>
      </w:r>
    </w:p>
    <w:p w14:paraId="1C30D3BF">
      <w:pPr>
        <w:pStyle w:val="2"/>
        <w:spacing w:after="0" w:line="560" w:lineRule="exact"/>
        <w:ind w:right="0" w:firstLine="560" w:firstLineChars="200"/>
        <w:rPr>
          <w:rFonts w:eastAsiaTheme="majorEastAsia"/>
          <w:sz w:val="28"/>
          <w:szCs w:val="28"/>
        </w:rPr>
      </w:pPr>
      <w:r>
        <w:rPr>
          <w:rFonts w:hint="eastAsia" w:eastAsiaTheme="majorEastAsia"/>
          <w:sz w:val="28"/>
          <w:szCs w:val="28"/>
        </w:rPr>
        <w:t>专利：</w:t>
      </w:r>
    </w:p>
    <w:p w14:paraId="395A264C">
      <w:pPr>
        <w:spacing w:after="0" w:line="560" w:lineRule="exact"/>
        <w:ind w:firstLine="560" w:firstLineChars="200"/>
        <w:rPr>
          <w:sz w:val="28"/>
          <w:szCs w:val="28"/>
        </w:rPr>
      </w:pPr>
      <w:r>
        <w:rPr>
          <w:sz w:val="28"/>
          <w:szCs w:val="28"/>
        </w:rPr>
        <w:t>[1] 陆先，姜思君，候朝能. 自适应视频文件加速解析方法、装置、设备及存储介质，专利号：ZL202110485426.0，授权日期：2023年1月</w:t>
      </w:r>
    </w:p>
    <w:p w14:paraId="1827961E">
      <w:pPr>
        <w:widowControl/>
        <w:spacing w:after="0" w:line="560" w:lineRule="exact"/>
        <w:ind w:firstLine="560" w:firstLineChars="200"/>
        <w:jc w:val="left"/>
        <w:rPr>
          <w:sz w:val="28"/>
          <w:szCs w:val="28"/>
        </w:rPr>
      </w:pPr>
      <w:r>
        <w:rPr>
          <w:sz w:val="28"/>
          <w:szCs w:val="28"/>
        </w:rPr>
        <w:t>[2] 王洋娟. 带数聚治理平台图形用户界面的显示屏幕面板，专利号：ZL202230867680.2，授权日期：2023年4月</w:t>
      </w:r>
    </w:p>
    <w:p w14:paraId="04355984">
      <w:pPr>
        <w:widowControl/>
        <w:spacing w:after="0" w:line="560" w:lineRule="exact"/>
        <w:ind w:firstLine="560" w:firstLineChars="200"/>
        <w:jc w:val="left"/>
        <w:rPr>
          <w:sz w:val="28"/>
          <w:szCs w:val="28"/>
        </w:rPr>
      </w:pPr>
      <w:r>
        <w:rPr>
          <w:sz w:val="28"/>
          <w:szCs w:val="28"/>
        </w:rPr>
        <w:t>[3] 黄娜. 带数聚治理平台图形用户界面的显示屏幕面板，专利号：ZL202230875531.0，授权日期：2023年4月</w:t>
      </w:r>
    </w:p>
    <w:p w14:paraId="40301DC6">
      <w:pPr>
        <w:widowControl/>
        <w:spacing w:after="0" w:line="560" w:lineRule="exact"/>
        <w:ind w:firstLine="560" w:firstLineChars="200"/>
        <w:jc w:val="left"/>
        <w:rPr>
          <w:sz w:val="28"/>
          <w:szCs w:val="28"/>
        </w:rPr>
      </w:pPr>
      <w:r>
        <w:rPr>
          <w:sz w:val="28"/>
          <w:szCs w:val="28"/>
        </w:rPr>
        <w:t>[4] 吴学纯. 车辆拥堵检测方法、装置及计算机存储介质，专利号：ZL202210428109.X，授权日期：2023年5月</w:t>
      </w:r>
    </w:p>
    <w:p w14:paraId="4E706A76">
      <w:pPr>
        <w:widowControl/>
        <w:spacing w:after="0" w:line="560" w:lineRule="exact"/>
        <w:ind w:firstLine="560" w:firstLineChars="200"/>
        <w:jc w:val="left"/>
        <w:rPr>
          <w:sz w:val="28"/>
          <w:szCs w:val="28"/>
        </w:rPr>
      </w:pPr>
      <w:r>
        <w:rPr>
          <w:sz w:val="28"/>
          <w:szCs w:val="28"/>
        </w:rPr>
        <w:t>[5] 杜凯，门雷. 存储系统的数据存储方法、装置、控制装置和介质，专利号：ZL202111484720.6，授权日期：2021年12月</w:t>
      </w:r>
    </w:p>
    <w:p w14:paraId="3AD0EF19">
      <w:pPr>
        <w:widowControl/>
        <w:spacing w:after="0" w:line="560" w:lineRule="exact"/>
        <w:ind w:firstLine="560" w:firstLineChars="200"/>
        <w:jc w:val="left"/>
        <w:rPr>
          <w:sz w:val="28"/>
          <w:szCs w:val="28"/>
        </w:rPr>
      </w:pPr>
      <w:r>
        <w:rPr>
          <w:sz w:val="28"/>
          <w:szCs w:val="28"/>
        </w:rPr>
        <w:t>[6] 赵希桐，祖广盛，王仲勋，兰天翼，肖万勇. 视频标注方法、装置、电子设备及介质，申请号：CN202310706332.0，申请日期：2023年6月</w:t>
      </w:r>
    </w:p>
    <w:p w14:paraId="30458605">
      <w:pPr>
        <w:widowControl/>
        <w:spacing w:after="0" w:line="560" w:lineRule="exact"/>
        <w:ind w:firstLine="560" w:firstLineChars="200"/>
        <w:jc w:val="left"/>
        <w:rPr>
          <w:sz w:val="28"/>
          <w:szCs w:val="28"/>
        </w:rPr>
      </w:pPr>
      <w:r>
        <w:rPr>
          <w:sz w:val="28"/>
          <w:szCs w:val="28"/>
        </w:rPr>
        <w:t>[7] 段丹丹,晏超,王仲勋,兰天翼,肖万勇. 模型训练方法、韵律预测方法、控制装置及存储介质，申请号：CN202310713141.7，申请日期：2023年6月</w:t>
      </w:r>
    </w:p>
    <w:p w14:paraId="70163036">
      <w:pPr>
        <w:widowControl/>
        <w:spacing w:after="0" w:line="560" w:lineRule="exact"/>
        <w:ind w:firstLine="560" w:firstLineChars="200"/>
        <w:jc w:val="left"/>
        <w:rPr>
          <w:sz w:val="28"/>
          <w:szCs w:val="28"/>
        </w:rPr>
      </w:pPr>
      <w:r>
        <w:rPr>
          <w:sz w:val="28"/>
          <w:szCs w:val="28"/>
        </w:rPr>
        <w:t>[8] 王彦添,张泽伦,赵德芳,王仲勋,张正伟. 图像超分辨重建方法、设备及计算机可读存储介质，申请号：CN202310869533.2，申请日期：2023年7月</w:t>
      </w:r>
    </w:p>
    <w:p w14:paraId="3E558333">
      <w:pPr>
        <w:autoSpaceDE w:val="0"/>
        <w:spacing w:after="0" w:line="560" w:lineRule="exact"/>
        <w:ind w:firstLine="560" w:firstLineChars="200"/>
        <w:rPr>
          <w:rFonts w:eastAsiaTheme="majorEastAsia"/>
          <w:bCs/>
          <w:sz w:val="28"/>
          <w:szCs w:val="28"/>
        </w:rPr>
      </w:pPr>
      <w:r>
        <w:rPr>
          <w:rFonts w:eastAsiaTheme="majorEastAsia"/>
          <w:bCs/>
          <w:sz w:val="28"/>
          <w:szCs w:val="28"/>
        </w:rPr>
        <w:t>软件著作权</w:t>
      </w:r>
      <w:r>
        <w:rPr>
          <w:rFonts w:hint="eastAsia" w:eastAsiaTheme="majorEastAsia"/>
          <w:bCs/>
          <w:sz w:val="28"/>
          <w:szCs w:val="28"/>
        </w:rPr>
        <w:t>：</w:t>
      </w:r>
    </w:p>
    <w:p w14:paraId="7197154B">
      <w:pPr>
        <w:pStyle w:val="2"/>
        <w:spacing w:after="0" w:line="560" w:lineRule="exact"/>
        <w:ind w:right="0" w:firstLine="560" w:firstLineChars="200"/>
        <w:rPr>
          <w:rFonts w:eastAsiaTheme="majorEastAsia"/>
          <w:sz w:val="28"/>
          <w:szCs w:val="28"/>
        </w:rPr>
      </w:pPr>
      <w:r>
        <w:rPr>
          <w:rFonts w:eastAsiaTheme="majorEastAsia"/>
          <w:sz w:val="28"/>
          <w:szCs w:val="28"/>
        </w:rPr>
        <w:t>[1] 四川云从天府人工智能科技有限公司. 四川天府新区智慧门户APP软件，版本号: V1.0，登记号: 2022SR0459456，软件开发完成日期: 2021年11月30日，登记日期: 2022年04月12日，权利取得方式: 原始取得，权利范围: 全部权利</w:t>
      </w:r>
    </w:p>
    <w:p w14:paraId="4C18BFF4">
      <w:pPr>
        <w:pStyle w:val="2"/>
        <w:spacing w:after="0" w:line="560" w:lineRule="exact"/>
        <w:ind w:right="0" w:firstLine="560" w:firstLineChars="200"/>
        <w:rPr>
          <w:rFonts w:eastAsiaTheme="majorEastAsia"/>
          <w:sz w:val="28"/>
          <w:szCs w:val="28"/>
        </w:rPr>
      </w:pPr>
      <w:r>
        <w:rPr>
          <w:rFonts w:eastAsiaTheme="majorEastAsia"/>
          <w:sz w:val="28"/>
          <w:szCs w:val="28"/>
        </w:rPr>
        <w:t>[2] 四川云从天府人工智能科技有限公司. 区域核酸检测预决策调度系统，版本号: V1.0，登记号: 2022SR0994783，软件开发完成日期: 2022年05月10日，登记日期: 2022年08月03日，权利取得方式: 原始取得，权利范围: 全部权利</w:t>
      </w:r>
    </w:p>
    <w:p w14:paraId="6C88C815">
      <w:pPr>
        <w:pStyle w:val="2"/>
        <w:spacing w:after="0" w:line="560" w:lineRule="exact"/>
        <w:ind w:right="0" w:firstLine="560" w:firstLineChars="200"/>
        <w:rPr>
          <w:rFonts w:eastAsiaTheme="majorEastAsia"/>
          <w:sz w:val="28"/>
          <w:szCs w:val="28"/>
        </w:rPr>
      </w:pPr>
      <w:r>
        <w:rPr>
          <w:rFonts w:eastAsiaTheme="majorEastAsia"/>
          <w:sz w:val="28"/>
          <w:szCs w:val="28"/>
        </w:rPr>
        <w:t>[3] 四川云从天府人工智能科技有限公司. 数字孪生智慧水生态治理系统，版本号: V1.0，登记号: 2022SR0994810，软件开发完成日期: 2022年05月10日，登记日期: 2022年08月03日，权利取得方式: 原始取得，权利范围: 全部权利</w:t>
      </w:r>
    </w:p>
    <w:p w14:paraId="5670C2AA">
      <w:pPr>
        <w:pStyle w:val="2"/>
        <w:spacing w:after="0" w:line="560" w:lineRule="exact"/>
        <w:ind w:right="0" w:firstLine="560" w:firstLineChars="200"/>
        <w:rPr>
          <w:rFonts w:eastAsiaTheme="majorEastAsia"/>
          <w:sz w:val="28"/>
          <w:szCs w:val="28"/>
        </w:rPr>
      </w:pPr>
      <w:r>
        <w:rPr>
          <w:rFonts w:eastAsiaTheme="majorEastAsia"/>
          <w:sz w:val="28"/>
          <w:szCs w:val="28"/>
        </w:rPr>
        <w:t>[4] 四川云从天府人工智能科技有限公司. 四数字孪生智慧城市治理平台，版本号: V1.0，登记号: 2022SR1309172，软件开发完成日期: 2022年05月10日，登记日期: 2022年08月26日，权利取得方式: 原始取得，权利范围: 全部权利</w:t>
      </w:r>
    </w:p>
    <w:p w14:paraId="5495B13C">
      <w:pPr>
        <w:pStyle w:val="2"/>
        <w:spacing w:after="0" w:line="560" w:lineRule="exact"/>
        <w:ind w:right="0" w:firstLine="560" w:firstLineChars="200"/>
        <w:rPr>
          <w:rFonts w:eastAsiaTheme="majorEastAsia"/>
          <w:sz w:val="28"/>
          <w:szCs w:val="28"/>
        </w:rPr>
      </w:pPr>
      <w:r>
        <w:rPr>
          <w:rFonts w:hint="eastAsia" w:eastAsiaTheme="majorEastAsia"/>
          <w:sz w:val="28"/>
          <w:szCs w:val="28"/>
        </w:rPr>
        <w:t>标准：</w:t>
      </w:r>
    </w:p>
    <w:p w14:paraId="0DBD2FE1">
      <w:pPr>
        <w:pStyle w:val="2"/>
        <w:spacing w:after="0" w:line="560" w:lineRule="exact"/>
        <w:ind w:right="0" w:firstLine="560" w:firstLineChars="200"/>
        <w:rPr>
          <w:rFonts w:eastAsiaTheme="majorEastAsia"/>
          <w:sz w:val="28"/>
          <w:szCs w:val="28"/>
        </w:rPr>
      </w:pPr>
      <w:r>
        <w:rPr>
          <w:rFonts w:eastAsiaTheme="majorEastAsia"/>
          <w:sz w:val="28"/>
          <w:szCs w:val="28"/>
        </w:rPr>
        <w:t>[1] 团体标准，《人工智能 深度合成图像系统技术规范》，T/CESA 1197-2022.</w:t>
      </w:r>
    </w:p>
    <w:p w14:paraId="2DE27F7D">
      <w:pPr>
        <w:pStyle w:val="2"/>
        <w:spacing w:after="0" w:line="560" w:lineRule="exact"/>
        <w:ind w:right="0" w:firstLine="560" w:firstLineChars="200"/>
        <w:rPr>
          <w:rFonts w:eastAsiaTheme="majorEastAsia"/>
          <w:sz w:val="28"/>
          <w:szCs w:val="28"/>
        </w:rPr>
      </w:pPr>
      <w:r>
        <w:rPr>
          <w:rFonts w:eastAsiaTheme="majorEastAsia"/>
          <w:sz w:val="28"/>
          <w:szCs w:val="28"/>
        </w:rPr>
        <w:t>[2] 团体标准，《人工智能 智能字符识别技术规范》，T/CESA 1199-2022.</w:t>
      </w:r>
    </w:p>
    <w:p w14:paraId="6541B374">
      <w:pPr>
        <w:numPr>
          <w:ilvl w:val="0"/>
          <w:numId w:val="3"/>
        </w:numPr>
        <w:spacing w:after="0" w:line="560" w:lineRule="exact"/>
        <w:ind w:firstLine="560" w:firstLineChars="200"/>
        <w:rPr>
          <w:sz w:val="28"/>
          <w:szCs w:val="28"/>
        </w:rPr>
      </w:pPr>
      <w:r>
        <w:rPr>
          <w:color w:val="000000"/>
          <w:sz w:val="28"/>
          <w:szCs w:val="28"/>
        </w:rPr>
        <w:t>经济、社会和环境效益</w:t>
      </w:r>
    </w:p>
    <w:p w14:paraId="248E4933">
      <w:pPr>
        <w:spacing w:after="0" w:line="560" w:lineRule="exact"/>
        <w:ind w:firstLine="560" w:firstLineChars="200"/>
        <w:rPr>
          <w:sz w:val="28"/>
          <w:szCs w:val="28"/>
        </w:rPr>
      </w:pPr>
      <w:r>
        <w:rPr>
          <w:sz w:val="28"/>
          <w:szCs w:val="28"/>
        </w:rPr>
        <w:t>任务围绕新型基础设施、智慧城市和区域数据中心建设需要，通过研究面向多模态的人工智能云边端一体化、深度学习专用算法等关键技术，构建人工智能算法应用平台协同工作架构，集成人工智能数据能力仓和人工智能训练等系统，实现数据资源动态调度、可扩展、可级联的边缘和云边计算，拓展应用场景，在教育、政务、城市管理、医疗等领域开展应用示范，将形成直接经济效益3000万元。</w:t>
      </w:r>
    </w:p>
    <w:p w14:paraId="019AFE20">
      <w:pPr>
        <w:spacing w:after="0" w:line="560" w:lineRule="exact"/>
        <w:ind w:firstLine="560" w:firstLineChars="200"/>
        <w:rPr>
          <w:sz w:val="28"/>
          <w:szCs w:val="28"/>
        </w:rPr>
      </w:pPr>
      <w:r>
        <w:rPr>
          <w:sz w:val="28"/>
          <w:szCs w:val="28"/>
        </w:rPr>
        <w:t>任务实施将有助于形成一批人工智能与经济社会发展深度融合的典型模式，促进人工智能在社会民生领域的广泛应用，打造一批具有重大引领带动作用的人工智能创新高地。</w:t>
      </w:r>
    </w:p>
    <w:p w14:paraId="3213C7E0">
      <w:pPr>
        <w:spacing w:after="0" w:line="560" w:lineRule="exact"/>
        <w:ind w:firstLine="560" w:firstLineChars="200"/>
        <w:rPr>
          <w:sz w:val="28"/>
          <w:szCs w:val="28"/>
        </w:rPr>
      </w:pPr>
      <w:r>
        <w:rPr>
          <w:sz w:val="28"/>
          <w:szCs w:val="28"/>
        </w:rPr>
        <w:t>完成情况：任务围绕新型基础设施、智慧城市和区域数据中心建设需要，通过研究面向多模态的人工智能云边端一体化、深度学习专用算法等关键技术，构建人工智能算法应用平台协同工作架构，集成人工智能数据能力仓和人工智能训练等系统，与四川天府新区、重庆市梁平区以及多家公司开展合作，形成经济效益1.34亿元。</w:t>
      </w:r>
    </w:p>
    <w:tbl>
      <w:tblPr>
        <w:tblStyle w:val="6"/>
        <w:tblW w:w="8389" w:type="dxa"/>
        <w:tblInd w:w="0" w:type="dxa"/>
        <w:tblLayout w:type="fixed"/>
        <w:tblCellMar>
          <w:top w:w="0" w:type="dxa"/>
          <w:left w:w="108" w:type="dxa"/>
          <w:bottom w:w="0" w:type="dxa"/>
          <w:right w:w="108" w:type="dxa"/>
        </w:tblCellMar>
      </w:tblPr>
      <w:tblGrid>
        <w:gridCol w:w="2485"/>
        <w:gridCol w:w="2052"/>
        <w:gridCol w:w="1920"/>
        <w:gridCol w:w="1932"/>
      </w:tblGrid>
      <w:tr w14:paraId="49FB13CB">
        <w:trPr>
          <w:trHeight w:val="288"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E7A355">
            <w:pPr>
              <w:widowControl/>
              <w:spacing w:after="0" w:line="240" w:lineRule="auto"/>
              <w:jc w:val="center"/>
              <w:rPr>
                <w:kern w:val="0"/>
                <w:sz w:val="24"/>
                <w:szCs w:val="24"/>
              </w:rPr>
            </w:pPr>
            <w:r>
              <w:rPr>
                <w:kern w:val="0"/>
                <w:sz w:val="24"/>
                <w:szCs w:val="24"/>
              </w:rPr>
              <w:t>合同名称</w:t>
            </w:r>
          </w:p>
        </w:tc>
        <w:tc>
          <w:tcPr>
            <w:tcW w:w="20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71D9BF">
            <w:pPr>
              <w:widowControl/>
              <w:spacing w:after="0" w:line="240" w:lineRule="auto"/>
              <w:jc w:val="center"/>
              <w:rPr>
                <w:kern w:val="0"/>
                <w:sz w:val="24"/>
                <w:szCs w:val="24"/>
              </w:rPr>
            </w:pPr>
            <w:r>
              <w:rPr>
                <w:kern w:val="0"/>
                <w:sz w:val="24"/>
                <w:szCs w:val="24"/>
              </w:rPr>
              <w:t>合同甲方</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B38B8">
            <w:pPr>
              <w:widowControl/>
              <w:spacing w:after="0" w:line="240" w:lineRule="auto"/>
              <w:jc w:val="center"/>
              <w:rPr>
                <w:kern w:val="0"/>
                <w:sz w:val="24"/>
                <w:szCs w:val="24"/>
              </w:rPr>
            </w:pPr>
            <w:r>
              <w:rPr>
                <w:kern w:val="0"/>
                <w:sz w:val="24"/>
                <w:szCs w:val="24"/>
              </w:rPr>
              <w:t>合同乙方</w:t>
            </w:r>
          </w:p>
        </w:tc>
        <w:tc>
          <w:tcPr>
            <w:tcW w:w="19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BDDDC">
            <w:pPr>
              <w:widowControl/>
              <w:spacing w:after="0" w:line="240" w:lineRule="auto"/>
              <w:jc w:val="center"/>
              <w:rPr>
                <w:kern w:val="0"/>
                <w:sz w:val="24"/>
                <w:szCs w:val="24"/>
              </w:rPr>
            </w:pPr>
            <w:r>
              <w:rPr>
                <w:kern w:val="0"/>
                <w:sz w:val="24"/>
                <w:szCs w:val="24"/>
              </w:rPr>
              <w:t>合同金额（元）</w:t>
            </w:r>
          </w:p>
        </w:tc>
      </w:tr>
      <w:tr w14:paraId="28DEA162">
        <w:tblPrEx>
          <w:tblCellMar>
            <w:top w:w="0" w:type="dxa"/>
            <w:left w:w="108" w:type="dxa"/>
            <w:bottom w:w="0" w:type="dxa"/>
            <w:right w:w="108" w:type="dxa"/>
          </w:tblCellMar>
        </w:tblPrEx>
        <w:trPr>
          <w:trHeight w:val="576"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33288A">
            <w:pPr>
              <w:widowControl/>
              <w:spacing w:after="0" w:line="240" w:lineRule="auto"/>
              <w:jc w:val="left"/>
              <w:rPr>
                <w:kern w:val="0"/>
                <w:sz w:val="24"/>
                <w:szCs w:val="24"/>
              </w:rPr>
            </w:pPr>
            <w:r>
              <w:rPr>
                <w:kern w:val="0"/>
                <w:sz w:val="24"/>
                <w:szCs w:val="24"/>
              </w:rPr>
              <w:t>四川天府新区</w:t>
            </w:r>
            <w:r>
              <w:rPr>
                <w:rFonts w:hint="eastAsia"/>
                <w:kern w:val="0"/>
                <w:sz w:val="24"/>
                <w:szCs w:val="24"/>
              </w:rPr>
              <w:t>成都直管区</w:t>
            </w:r>
            <w:r>
              <w:rPr>
                <w:kern w:val="0"/>
                <w:sz w:val="24"/>
                <w:szCs w:val="24"/>
              </w:rPr>
              <w:t>数字城市建设</w:t>
            </w:r>
            <w:r>
              <w:rPr>
                <w:rFonts w:hint="eastAsia"/>
                <w:kern w:val="0"/>
                <w:sz w:val="24"/>
                <w:szCs w:val="24"/>
              </w:rPr>
              <w:t>2020-2021年行动计划项目服务合同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A70F27">
            <w:pPr>
              <w:widowControl/>
              <w:spacing w:after="0" w:line="240" w:lineRule="auto"/>
              <w:jc w:val="left"/>
              <w:rPr>
                <w:kern w:val="0"/>
                <w:sz w:val="24"/>
                <w:szCs w:val="24"/>
              </w:rPr>
            </w:pPr>
            <w:r>
              <w:rPr>
                <w:kern w:val="0"/>
                <w:sz w:val="24"/>
                <w:szCs w:val="24"/>
              </w:rPr>
              <w:t>四川天府新区行政审批局</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FCF68C">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78B5F95">
            <w:pPr>
              <w:widowControl/>
              <w:spacing w:after="0" w:line="240" w:lineRule="auto"/>
              <w:jc w:val="left"/>
              <w:rPr>
                <w:kern w:val="0"/>
                <w:sz w:val="24"/>
                <w:szCs w:val="24"/>
              </w:rPr>
            </w:pPr>
            <w:r>
              <w:rPr>
                <w:kern w:val="0"/>
                <w:sz w:val="24"/>
                <w:szCs w:val="24"/>
              </w:rPr>
              <w:t>538,285,467.00（其中1.2亿归属四川云从）</w:t>
            </w:r>
          </w:p>
        </w:tc>
      </w:tr>
      <w:tr w14:paraId="193BF7F4">
        <w:tblPrEx>
          <w:tblCellMar>
            <w:top w:w="0" w:type="dxa"/>
            <w:left w:w="108" w:type="dxa"/>
            <w:bottom w:w="0" w:type="dxa"/>
            <w:right w:w="108" w:type="dxa"/>
          </w:tblCellMar>
        </w:tblPrEx>
        <w:trPr>
          <w:trHeight w:val="864"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E206A9">
            <w:pPr>
              <w:widowControl/>
              <w:spacing w:after="0" w:line="240" w:lineRule="auto"/>
              <w:jc w:val="left"/>
              <w:rPr>
                <w:kern w:val="0"/>
                <w:sz w:val="24"/>
                <w:szCs w:val="24"/>
              </w:rPr>
            </w:pPr>
            <w:r>
              <w:rPr>
                <w:kern w:val="0"/>
                <w:sz w:val="24"/>
                <w:szCs w:val="24"/>
              </w:rPr>
              <w:t>梁平区双桂湖智慧体验公园管理服务平台升级项目软件开发服务合同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268E56">
            <w:pPr>
              <w:widowControl/>
              <w:spacing w:after="0" w:line="240" w:lineRule="auto"/>
              <w:jc w:val="left"/>
              <w:rPr>
                <w:kern w:val="0"/>
                <w:sz w:val="24"/>
                <w:szCs w:val="24"/>
              </w:rPr>
            </w:pPr>
            <w:r>
              <w:rPr>
                <w:kern w:val="0"/>
                <w:sz w:val="24"/>
                <w:szCs w:val="24"/>
              </w:rPr>
              <w:t>重庆市梁平区大数据应用发展管理局</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2F4657">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AA744A">
            <w:pPr>
              <w:widowControl/>
              <w:spacing w:after="0" w:line="240" w:lineRule="auto"/>
              <w:jc w:val="left"/>
              <w:rPr>
                <w:kern w:val="0"/>
                <w:sz w:val="24"/>
                <w:szCs w:val="24"/>
              </w:rPr>
            </w:pPr>
            <w:r>
              <w:rPr>
                <w:kern w:val="0"/>
                <w:sz w:val="24"/>
                <w:szCs w:val="24"/>
              </w:rPr>
              <w:t>1,319,137.00</w:t>
            </w:r>
          </w:p>
        </w:tc>
      </w:tr>
      <w:tr w14:paraId="4E8CA433">
        <w:tblPrEx>
          <w:tblCellMar>
            <w:top w:w="0" w:type="dxa"/>
            <w:left w:w="108" w:type="dxa"/>
            <w:bottom w:w="0" w:type="dxa"/>
            <w:right w:w="108" w:type="dxa"/>
          </w:tblCellMar>
        </w:tblPrEx>
        <w:trPr>
          <w:trHeight w:val="864"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A4008B">
            <w:pPr>
              <w:widowControl/>
              <w:spacing w:after="0" w:line="240" w:lineRule="auto"/>
              <w:jc w:val="left"/>
              <w:rPr>
                <w:kern w:val="0"/>
                <w:sz w:val="24"/>
                <w:szCs w:val="24"/>
              </w:rPr>
            </w:pPr>
            <w:r>
              <w:rPr>
                <w:rFonts w:hint="eastAsia"/>
                <w:kern w:val="0"/>
                <w:sz w:val="24"/>
                <w:szCs w:val="24"/>
              </w:rPr>
              <w:t>数字天府智慧交通建设服务项目采购合同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B5911D">
            <w:pPr>
              <w:widowControl/>
              <w:spacing w:after="0" w:line="240" w:lineRule="auto"/>
              <w:jc w:val="left"/>
              <w:rPr>
                <w:kern w:val="0"/>
                <w:sz w:val="24"/>
                <w:szCs w:val="24"/>
              </w:rPr>
            </w:pPr>
            <w:r>
              <w:rPr>
                <w:kern w:val="0"/>
                <w:sz w:val="24"/>
                <w:szCs w:val="24"/>
              </w:rPr>
              <w:t>成都雷科特毫米波技术有限公司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8CDD5B">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149B0A">
            <w:pPr>
              <w:widowControl/>
              <w:spacing w:after="0" w:line="240" w:lineRule="auto"/>
              <w:jc w:val="left"/>
              <w:rPr>
                <w:kern w:val="0"/>
                <w:sz w:val="24"/>
                <w:szCs w:val="24"/>
              </w:rPr>
            </w:pPr>
            <w:r>
              <w:rPr>
                <w:kern w:val="0"/>
                <w:sz w:val="24"/>
                <w:szCs w:val="24"/>
              </w:rPr>
              <w:t>6,260,000.00</w:t>
            </w:r>
          </w:p>
        </w:tc>
      </w:tr>
      <w:tr w14:paraId="7DC5E35B">
        <w:tblPrEx>
          <w:tblCellMar>
            <w:top w:w="0" w:type="dxa"/>
            <w:left w:w="108" w:type="dxa"/>
            <w:bottom w:w="0" w:type="dxa"/>
            <w:right w:w="108" w:type="dxa"/>
          </w:tblCellMar>
        </w:tblPrEx>
        <w:trPr>
          <w:trHeight w:val="864"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842301">
            <w:pPr>
              <w:widowControl/>
              <w:spacing w:after="0" w:line="240" w:lineRule="auto"/>
              <w:jc w:val="left"/>
              <w:rPr>
                <w:kern w:val="0"/>
                <w:sz w:val="24"/>
                <w:szCs w:val="24"/>
              </w:rPr>
            </w:pPr>
            <w:r>
              <w:rPr>
                <w:kern w:val="0"/>
                <w:sz w:val="24"/>
                <w:szCs w:val="24"/>
              </w:rPr>
              <w:t>2022年天府新区感知源项目（标段一）合同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3F951C">
            <w:pPr>
              <w:widowControl/>
              <w:spacing w:after="0" w:line="240" w:lineRule="auto"/>
              <w:jc w:val="left"/>
              <w:rPr>
                <w:kern w:val="0"/>
                <w:sz w:val="24"/>
                <w:szCs w:val="24"/>
              </w:rPr>
            </w:pPr>
            <w:r>
              <w:rPr>
                <w:kern w:val="0"/>
                <w:sz w:val="24"/>
                <w:szCs w:val="24"/>
              </w:rPr>
              <w:t>成都杰迈德电子科技有限公司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483269">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C29474">
            <w:pPr>
              <w:widowControl/>
              <w:spacing w:after="0" w:line="240" w:lineRule="auto"/>
              <w:jc w:val="left"/>
              <w:rPr>
                <w:kern w:val="0"/>
                <w:sz w:val="24"/>
                <w:szCs w:val="24"/>
              </w:rPr>
            </w:pPr>
            <w:r>
              <w:rPr>
                <w:kern w:val="0"/>
                <w:sz w:val="24"/>
                <w:szCs w:val="24"/>
              </w:rPr>
              <w:t>990,000.00</w:t>
            </w:r>
          </w:p>
        </w:tc>
      </w:tr>
      <w:tr w14:paraId="5C78EC91">
        <w:tblPrEx>
          <w:tblCellMar>
            <w:top w:w="0" w:type="dxa"/>
            <w:left w:w="108" w:type="dxa"/>
            <w:bottom w:w="0" w:type="dxa"/>
            <w:right w:w="108" w:type="dxa"/>
          </w:tblCellMar>
        </w:tblPrEx>
        <w:trPr>
          <w:trHeight w:val="1293"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B00343">
            <w:pPr>
              <w:widowControl/>
              <w:spacing w:after="0" w:line="240" w:lineRule="auto"/>
              <w:jc w:val="left"/>
              <w:rPr>
                <w:kern w:val="0"/>
                <w:sz w:val="24"/>
                <w:szCs w:val="24"/>
              </w:rPr>
            </w:pPr>
            <w:r>
              <w:rPr>
                <w:rFonts w:hint="eastAsia"/>
                <w:kern w:val="0"/>
                <w:sz w:val="24"/>
                <w:szCs w:val="24"/>
              </w:rPr>
              <w:t>天府新区公安分局感知源销售合同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79ECCC">
            <w:pPr>
              <w:widowControl/>
              <w:spacing w:after="0" w:line="240" w:lineRule="auto"/>
              <w:jc w:val="left"/>
              <w:rPr>
                <w:kern w:val="0"/>
                <w:sz w:val="24"/>
                <w:szCs w:val="24"/>
              </w:rPr>
            </w:pPr>
            <w:r>
              <w:rPr>
                <w:kern w:val="0"/>
                <w:sz w:val="24"/>
                <w:szCs w:val="24"/>
              </w:rPr>
              <w:t>四川警桦科技有限公司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7DFE36">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68E4EFC">
            <w:pPr>
              <w:widowControl/>
              <w:spacing w:after="0" w:line="240" w:lineRule="auto"/>
              <w:jc w:val="left"/>
              <w:rPr>
                <w:kern w:val="0"/>
                <w:sz w:val="24"/>
                <w:szCs w:val="24"/>
              </w:rPr>
            </w:pPr>
            <w:r>
              <w:rPr>
                <w:kern w:val="0"/>
                <w:sz w:val="24"/>
                <w:szCs w:val="24"/>
              </w:rPr>
              <w:t>1,</w:t>
            </w:r>
            <w:r>
              <w:rPr>
                <w:rFonts w:hint="eastAsia"/>
                <w:kern w:val="0"/>
                <w:sz w:val="24"/>
                <w:szCs w:val="24"/>
              </w:rPr>
              <w:t>080</w:t>
            </w:r>
            <w:r>
              <w:rPr>
                <w:kern w:val="0"/>
                <w:sz w:val="24"/>
                <w:szCs w:val="24"/>
              </w:rPr>
              <w:t>,000.00</w:t>
            </w:r>
          </w:p>
        </w:tc>
      </w:tr>
      <w:tr w14:paraId="2002332C">
        <w:tblPrEx>
          <w:tblCellMar>
            <w:top w:w="0" w:type="dxa"/>
            <w:left w:w="108" w:type="dxa"/>
            <w:bottom w:w="0" w:type="dxa"/>
            <w:right w:w="108" w:type="dxa"/>
          </w:tblCellMar>
        </w:tblPrEx>
        <w:trPr>
          <w:trHeight w:val="576"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185A68">
            <w:pPr>
              <w:widowControl/>
              <w:spacing w:after="0" w:line="240" w:lineRule="auto"/>
              <w:jc w:val="left"/>
              <w:rPr>
                <w:kern w:val="0"/>
                <w:sz w:val="24"/>
                <w:szCs w:val="24"/>
              </w:rPr>
            </w:pPr>
            <w:r>
              <w:rPr>
                <w:kern w:val="0"/>
                <w:sz w:val="24"/>
                <w:szCs w:val="24"/>
              </w:rPr>
              <w:t>独角兽岛启动区公园城市展示厅数字孪生智慧水生态治理系统软件购销合同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51188F">
            <w:pPr>
              <w:widowControl/>
              <w:spacing w:after="0" w:line="240" w:lineRule="auto"/>
              <w:jc w:val="left"/>
              <w:rPr>
                <w:kern w:val="0"/>
                <w:sz w:val="24"/>
                <w:szCs w:val="24"/>
              </w:rPr>
            </w:pPr>
            <w:r>
              <w:rPr>
                <w:kern w:val="0"/>
                <w:sz w:val="24"/>
                <w:szCs w:val="24"/>
              </w:rPr>
              <w:t>力方数字科技集团有限公司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527D215">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B348F1">
            <w:pPr>
              <w:widowControl/>
              <w:spacing w:after="0" w:line="240" w:lineRule="auto"/>
              <w:jc w:val="left"/>
              <w:rPr>
                <w:kern w:val="0"/>
                <w:sz w:val="24"/>
                <w:szCs w:val="24"/>
              </w:rPr>
            </w:pPr>
            <w:r>
              <w:rPr>
                <w:rFonts w:hint="eastAsia"/>
                <w:kern w:val="0"/>
                <w:sz w:val="24"/>
                <w:szCs w:val="24"/>
              </w:rPr>
              <w:t>888,514.32</w:t>
            </w:r>
          </w:p>
        </w:tc>
      </w:tr>
      <w:tr w14:paraId="71CD73E1">
        <w:tblPrEx>
          <w:tblCellMar>
            <w:top w:w="0" w:type="dxa"/>
            <w:left w:w="108" w:type="dxa"/>
            <w:bottom w:w="0" w:type="dxa"/>
            <w:right w:w="108" w:type="dxa"/>
          </w:tblCellMar>
        </w:tblPrEx>
        <w:trPr>
          <w:trHeight w:val="576"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71EEDC">
            <w:pPr>
              <w:widowControl/>
              <w:spacing w:after="0" w:line="240" w:lineRule="auto"/>
              <w:jc w:val="left"/>
              <w:rPr>
                <w:kern w:val="0"/>
                <w:sz w:val="24"/>
                <w:szCs w:val="24"/>
              </w:rPr>
            </w:pPr>
            <w:r>
              <w:rPr>
                <w:kern w:val="0"/>
                <w:sz w:val="24"/>
                <w:szCs w:val="24"/>
              </w:rPr>
              <w:t>2022年拉萨经开区公安局视频大数据项目</w:t>
            </w:r>
            <w:r>
              <w:rPr>
                <w:rFonts w:hint="eastAsia"/>
                <w:kern w:val="0"/>
                <w:sz w:val="24"/>
                <w:szCs w:val="24"/>
              </w:rPr>
              <w:t>销售合同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E53987">
            <w:pPr>
              <w:widowControl/>
              <w:spacing w:after="0" w:line="240" w:lineRule="auto"/>
              <w:jc w:val="left"/>
              <w:rPr>
                <w:kern w:val="0"/>
                <w:sz w:val="24"/>
                <w:szCs w:val="24"/>
              </w:rPr>
            </w:pPr>
            <w:r>
              <w:rPr>
                <w:kern w:val="0"/>
                <w:sz w:val="24"/>
                <w:szCs w:val="24"/>
              </w:rPr>
              <w:t>成都甜心商旅科技有限公司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DCAE16">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0F44C0">
            <w:pPr>
              <w:widowControl/>
              <w:spacing w:after="0" w:line="240" w:lineRule="auto"/>
              <w:jc w:val="left"/>
              <w:rPr>
                <w:kern w:val="0"/>
                <w:sz w:val="24"/>
                <w:szCs w:val="24"/>
              </w:rPr>
            </w:pPr>
            <w:r>
              <w:rPr>
                <w:kern w:val="0"/>
                <w:sz w:val="24"/>
                <w:szCs w:val="24"/>
              </w:rPr>
              <w:t>680,000.00</w:t>
            </w:r>
          </w:p>
        </w:tc>
      </w:tr>
      <w:tr w14:paraId="0C76494F">
        <w:tblPrEx>
          <w:tblCellMar>
            <w:top w:w="0" w:type="dxa"/>
            <w:left w:w="108" w:type="dxa"/>
            <w:bottom w:w="0" w:type="dxa"/>
            <w:right w:w="108" w:type="dxa"/>
          </w:tblCellMar>
        </w:tblPrEx>
        <w:trPr>
          <w:trHeight w:val="576"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E381EF">
            <w:pPr>
              <w:widowControl/>
              <w:spacing w:after="0" w:line="240" w:lineRule="auto"/>
              <w:jc w:val="left"/>
              <w:rPr>
                <w:kern w:val="0"/>
                <w:sz w:val="24"/>
                <w:szCs w:val="24"/>
              </w:rPr>
            </w:pPr>
            <w:r>
              <w:rPr>
                <w:kern w:val="0"/>
                <w:sz w:val="24"/>
                <w:szCs w:val="24"/>
              </w:rPr>
              <w:t>蒲江县公安局指挥中心改造</w:t>
            </w:r>
            <w:r>
              <w:rPr>
                <w:rFonts w:hint="eastAsia"/>
                <w:kern w:val="0"/>
                <w:sz w:val="24"/>
                <w:szCs w:val="24"/>
              </w:rPr>
              <w:t>设备采购合同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FCB020">
            <w:pPr>
              <w:widowControl/>
              <w:spacing w:after="0" w:line="240" w:lineRule="auto"/>
              <w:jc w:val="left"/>
              <w:rPr>
                <w:kern w:val="0"/>
                <w:sz w:val="24"/>
                <w:szCs w:val="24"/>
              </w:rPr>
            </w:pPr>
            <w:r>
              <w:rPr>
                <w:kern w:val="0"/>
                <w:sz w:val="24"/>
                <w:szCs w:val="24"/>
              </w:rPr>
              <w:t>蒲江县公安局</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FD90AB">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A3D02E">
            <w:pPr>
              <w:widowControl/>
              <w:spacing w:after="0" w:line="240" w:lineRule="auto"/>
              <w:jc w:val="left"/>
              <w:rPr>
                <w:kern w:val="0"/>
                <w:sz w:val="24"/>
                <w:szCs w:val="24"/>
              </w:rPr>
            </w:pPr>
            <w:r>
              <w:rPr>
                <w:kern w:val="0"/>
                <w:sz w:val="24"/>
                <w:szCs w:val="24"/>
              </w:rPr>
              <w:t>2,535,646.00</w:t>
            </w:r>
          </w:p>
        </w:tc>
      </w:tr>
      <w:tr w14:paraId="2D71EE2A">
        <w:tblPrEx>
          <w:tblCellMar>
            <w:top w:w="0" w:type="dxa"/>
            <w:left w:w="108" w:type="dxa"/>
            <w:bottom w:w="0" w:type="dxa"/>
            <w:right w:w="108" w:type="dxa"/>
          </w:tblCellMar>
        </w:tblPrEx>
        <w:trPr>
          <w:trHeight w:val="576" w:hRule="atLeast"/>
        </w:trPr>
        <w:tc>
          <w:tcPr>
            <w:tcW w:w="248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0E711F3">
            <w:pPr>
              <w:widowControl/>
              <w:spacing w:after="0" w:line="240" w:lineRule="auto"/>
              <w:jc w:val="left"/>
              <w:rPr>
                <w:kern w:val="0"/>
                <w:sz w:val="24"/>
                <w:szCs w:val="24"/>
              </w:rPr>
            </w:pPr>
            <w:r>
              <w:rPr>
                <w:rFonts w:hint="eastAsia"/>
                <w:kern w:val="0"/>
                <w:sz w:val="24"/>
                <w:szCs w:val="24"/>
              </w:rPr>
              <w:t>天府新区公安分局感知源销售合同</w:t>
            </w:r>
          </w:p>
        </w:tc>
        <w:tc>
          <w:tcPr>
            <w:tcW w:w="20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A85E3C">
            <w:pPr>
              <w:widowControl/>
              <w:spacing w:after="0" w:line="240" w:lineRule="auto"/>
              <w:jc w:val="left"/>
              <w:rPr>
                <w:kern w:val="0"/>
                <w:sz w:val="24"/>
                <w:szCs w:val="24"/>
              </w:rPr>
            </w:pPr>
            <w:r>
              <w:rPr>
                <w:kern w:val="0"/>
                <w:sz w:val="24"/>
                <w:szCs w:val="24"/>
              </w:rPr>
              <w:t>四川警桦科技有限公司</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33FE28">
            <w:pPr>
              <w:widowControl/>
              <w:spacing w:after="0" w:line="240" w:lineRule="auto"/>
              <w:jc w:val="left"/>
              <w:rPr>
                <w:kern w:val="0"/>
                <w:sz w:val="24"/>
                <w:szCs w:val="24"/>
              </w:rPr>
            </w:pPr>
            <w:r>
              <w:rPr>
                <w:kern w:val="0"/>
                <w:sz w:val="24"/>
                <w:szCs w:val="24"/>
              </w:rPr>
              <w:t>四川云从天府人工智能科技有限公司</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AA46FB">
            <w:pPr>
              <w:widowControl/>
              <w:spacing w:after="0" w:line="240" w:lineRule="auto"/>
              <w:jc w:val="left"/>
              <w:rPr>
                <w:kern w:val="0"/>
                <w:sz w:val="24"/>
                <w:szCs w:val="24"/>
              </w:rPr>
            </w:pPr>
            <w:r>
              <w:rPr>
                <w:kern w:val="0"/>
                <w:sz w:val="24"/>
                <w:szCs w:val="24"/>
              </w:rPr>
              <w:t>1,</w:t>
            </w:r>
            <w:r>
              <w:rPr>
                <w:rFonts w:hint="eastAsia"/>
                <w:kern w:val="0"/>
                <w:sz w:val="24"/>
                <w:szCs w:val="24"/>
              </w:rPr>
              <w:t>134</w:t>
            </w:r>
            <w:r>
              <w:rPr>
                <w:kern w:val="0"/>
                <w:sz w:val="24"/>
                <w:szCs w:val="24"/>
              </w:rPr>
              <w:t>,000.00</w:t>
            </w:r>
          </w:p>
        </w:tc>
      </w:tr>
      <w:tr w14:paraId="52A39D74">
        <w:tblPrEx>
          <w:tblCellMar>
            <w:top w:w="0" w:type="dxa"/>
            <w:left w:w="108" w:type="dxa"/>
            <w:bottom w:w="0" w:type="dxa"/>
            <w:right w:w="108" w:type="dxa"/>
          </w:tblCellMar>
        </w:tblPrEx>
        <w:trPr>
          <w:trHeight w:val="481" w:hRule="atLeast"/>
        </w:trPr>
        <w:tc>
          <w:tcPr>
            <w:tcW w:w="6457"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06CA9914">
            <w:pPr>
              <w:widowControl/>
              <w:spacing w:after="0" w:line="240" w:lineRule="auto"/>
              <w:jc w:val="center"/>
              <w:rPr>
                <w:kern w:val="0"/>
                <w:sz w:val="24"/>
                <w:szCs w:val="24"/>
              </w:rPr>
            </w:pPr>
            <w:r>
              <w:rPr>
                <w:kern w:val="0"/>
                <w:sz w:val="24"/>
                <w:szCs w:val="24"/>
              </w:rPr>
              <w:t>合  计（万元）</w:t>
            </w:r>
          </w:p>
        </w:tc>
        <w:tc>
          <w:tcPr>
            <w:tcW w:w="193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5F433F">
            <w:pPr>
              <w:widowControl/>
              <w:spacing w:after="0" w:line="240" w:lineRule="auto"/>
              <w:jc w:val="left"/>
              <w:rPr>
                <w:kern w:val="0"/>
                <w:sz w:val="24"/>
                <w:szCs w:val="24"/>
              </w:rPr>
            </w:pPr>
            <w:r>
              <w:rPr>
                <w:kern w:val="0"/>
                <w:sz w:val="24"/>
                <w:szCs w:val="24"/>
              </w:rPr>
              <w:t>13,4</w:t>
            </w:r>
            <w:r>
              <w:rPr>
                <w:rFonts w:hint="eastAsia"/>
                <w:kern w:val="0"/>
                <w:sz w:val="24"/>
                <w:szCs w:val="24"/>
              </w:rPr>
              <w:t>88</w:t>
            </w:r>
            <w:r>
              <w:rPr>
                <w:kern w:val="0"/>
                <w:sz w:val="24"/>
                <w:szCs w:val="24"/>
              </w:rPr>
              <w:t>.</w:t>
            </w:r>
            <w:r>
              <w:rPr>
                <w:rFonts w:hint="eastAsia"/>
                <w:kern w:val="0"/>
                <w:sz w:val="24"/>
                <w:szCs w:val="24"/>
              </w:rPr>
              <w:t>73</w:t>
            </w:r>
          </w:p>
        </w:tc>
      </w:tr>
    </w:tbl>
    <w:p w14:paraId="69DC559D">
      <w:pPr>
        <w:snapToGrid w:val="0"/>
        <w:spacing w:after="0" w:line="560" w:lineRule="exact"/>
        <w:ind w:firstLine="640" w:firstLineChars="200"/>
        <w:outlineLvl w:val="1"/>
        <w:rPr>
          <w:color w:val="000000"/>
          <w:sz w:val="32"/>
          <w:szCs w:val="32"/>
        </w:rPr>
      </w:pPr>
      <w:r>
        <w:rPr>
          <w:color w:val="000000"/>
          <w:sz w:val="32"/>
          <w:szCs w:val="32"/>
        </w:rPr>
        <w:t>（二）项目技术指标完成情况</w:t>
      </w:r>
    </w:p>
    <w:p w14:paraId="44CD4625">
      <w:pPr>
        <w:spacing w:after="0" w:line="560" w:lineRule="exact"/>
        <w:ind w:firstLine="560" w:firstLineChars="200"/>
        <w:outlineLvl w:val="2"/>
        <w:rPr>
          <w:sz w:val="28"/>
          <w:szCs w:val="28"/>
        </w:rPr>
      </w:pPr>
      <w:r>
        <w:rPr>
          <w:sz w:val="28"/>
          <w:szCs w:val="28"/>
        </w:rPr>
        <w:t>1. 项目技术方案</w:t>
      </w:r>
    </w:p>
    <w:p w14:paraId="11446089">
      <w:pPr>
        <w:spacing w:after="0" w:line="560" w:lineRule="exact"/>
        <w:ind w:firstLine="560" w:firstLineChars="200"/>
        <w:rPr>
          <w:sz w:val="28"/>
          <w:szCs w:val="28"/>
        </w:rPr>
      </w:pPr>
      <w:r>
        <w:rPr>
          <w:rFonts w:hint="eastAsia"/>
          <w:sz w:val="28"/>
          <w:szCs w:val="28"/>
          <w:lang w:val="en-US" w:eastAsia="zh-CN"/>
        </w:rPr>
        <w:t>多模态边缘云计算平台</w:t>
      </w:r>
      <w:r>
        <w:rPr>
          <w:sz w:val="28"/>
          <w:szCs w:val="28"/>
        </w:rPr>
        <w:t>是集数据通、设备通、应用通为一体，提供AI标准场景应用方案的通用开放平台，支持设备管理、应用管理、引擎管理、权限配置，支持IO配置、语音设置、用户管理、设备共享、SDK服务、预览布局和授权管理等高级设置，支持录像回放和实时预览，通过云边端协同方式为传统行业提供智能化升级服务。</w:t>
      </w:r>
    </w:p>
    <w:p w14:paraId="2F766658">
      <w:pPr>
        <w:spacing w:after="0" w:line="240" w:lineRule="auto"/>
        <w:jc w:val="left"/>
      </w:pPr>
      <w:r>
        <w:drawing>
          <wp:inline distT="0" distB="0" distL="114300" distR="114300">
            <wp:extent cx="5271770" cy="1930400"/>
            <wp:effectExtent l="0" t="0" r="1270" b="508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6"/>
                    <a:stretch>
                      <a:fillRect/>
                    </a:stretch>
                  </pic:blipFill>
                  <pic:spPr>
                    <a:xfrm>
                      <a:off x="0" y="0"/>
                      <a:ext cx="5271770" cy="1930400"/>
                    </a:xfrm>
                    <a:prstGeom prst="rect">
                      <a:avLst/>
                    </a:prstGeom>
                    <a:noFill/>
                    <a:ln>
                      <a:noFill/>
                    </a:ln>
                  </pic:spPr>
                </pic:pic>
              </a:graphicData>
            </a:graphic>
          </wp:inline>
        </w:drawing>
      </w:r>
    </w:p>
    <w:p w14:paraId="757A1F46">
      <w:pPr>
        <w:pStyle w:val="2"/>
        <w:keepNext w:val="0"/>
        <w:keepLines w:val="0"/>
        <w:pageBreakBefore w:val="0"/>
        <w:widowControl w:val="0"/>
        <w:kinsoku/>
        <w:wordWrap/>
        <w:overflowPunct/>
        <w:topLinePunct w:val="0"/>
        <w:autoSpaceDE/>
        <w:autoSpaceDN/>
        <w:bidi w:val="0"/>
        <w:adjustRightInd/>
        <w:snapToGrid/>
        <w:spacing w:after="0" w:line="560" w:lineRule="exact"/>
        <w:ind w:right="0"/>
        <w:jc w:val="center"/>
        <w:textAlignment w:val="auto"/>
        <w:rPr>
          <w:rFonts w:hint="default" w:eastAsia="宋体"/>
          <w:sz w:val="24"/>
          <w:szCs w:val="24"/>
          <w:lang w:val="en-US" w:eastAsia="zh-CN"/>
        </w:rPr>
      </w:pPr>
      <w:r>
        <w:rPr>
          <w:rFonts w:hint="eastAsia"/>
          <w:sz w:val="24"/>
          <w:szCs w:val="24"/>
          <w:lang w:val="en-US" w:eastAsia="zh-CN"/>
        </w:rPr>
        <w:t>图1 多模态边缘云计算平台搭建</w:t>
      </w:r>
    </w:p>
    <w:p w14:paraId="07382AAF">
      <w:pPr>
        <w:spacing w:after="0" w:line="560" w:lineRule="exact"/>
        <w:ind w:firstLine="560" w:firstLineChars="200"/>
        <w:rPr>
          <w:sz w:val="28"/>
          <w:szCs w:val="28"/>
        </w:rPr>
      </w:pPr>
      <w:r>
        <w:rPr>
          <w:sz w:val="28"/>
          <w:szCs w:val="28"/>
        </w:rPr>
        <w:t>平台基于广泛的智能设备接入能力和行业领先的AI能力，支持云从、海康、大华、宇视IPC、NVR、抓拍机、DCS/DCR等海量设备，以一体机、解决方案和云服务的方式，为用户提供出入口、区域布控、门店、疫情防控和空间视觉五大应用集，支撑机场业务、智慧交通、安防、智慧工地等场景解决方案的落地。提供访客门禁、区域布控、轨迹抓拍、车辆抓拍、人数统计、行为报警、工地监管等核心功能。</w:t>
      </w:r>
    </w:p>
    <w:p w14:paraId="10CA36EC">
      <w:pPr>
        <w:spacing w:after="0" w:line="560" w:lineRule="exact"/>
        <w:ind w:firstLine="560" w:firstLineChars="200"/>
        <w:rPr>
          <w:sz w:val="28"/>
          <w:szCs w:val="28"/>
        </w:rPr>
      </w:pPr>
      <w:r>
        <w:rPr>
          <w:sz w:val="28"/>
          <w:szCs w:val="28"/>
        </w:rPr>
        <w:t>平台集成视听觉20多种算法模型，多模态融合和音视频协同的响应时延小于200ms，可同时支持100路和100种多媒体终端接入；支持3层的纵向级联和100个计算节点的横向扩展；实现边缘计算的容器化应用管理；实现内容加密、隐私保护、代码可溯源等安全功能。</w:t>
      </w:r>
    </w:p>
    <w:p w14:paraId="38A9A9D1">
      <w:pPr>
        <w:spacing w:after="0" w:line="560" w:lineRule="exact"/>
        <w:ind w:firstLine="560" w:firstLineChars="200"/>
        <w:outlineLvl w:val="2"/>
        <w:rPr>
          <w:sz w:val="28"/>
          <w:szCs w:val="28"/>
        </w:rPr>
      </w:pPr>
      <w:r>
        <w:rPr>
          <w:sz w:val="28"/>
          <w:szCs w:val="28"/>
        </w:rPr>
        <w:t>2. 关键技术及解决途径（项目解决的关键共性技术、达到的技术性能指标及其技术水平，实际实现的技术指标与合同约定指标对比情况）；</w:t>
      </w:r>
    </w:p>
    <w:p w14:paraId="5FE48599">
      <w:pPr>
        <w:spacing w:after="0" w:line="560" w:lineRule="exact"/>
        <w:ind w:firstLine="560" w:firstLineChars="200"/>
        <w:rPr>
          <w:sz w:val="28"/>
          <w:szCs w:val="28"/>
        </w:rPr>
      </w:pPr>
      <w:r>
        <w:rPr>
          <w:sz w:val="28"/>
          <w:szCs w:val="28"/>
        </w:rPr>
        <w:t>项目研发的deepnet算法框架，通过异构计算的运行时库大量运行在各种终端、边缘和云端的硬件平台和设备上。云从科技的异构计算运行时库兼容性强，广泛支持不同类型的CPU、GPU、NPU等通用的硬件架构。以CPU硬件平台进行划分，可以广泛运行在ARM CPU、Intel CPU、AMD CPU、华为的鲲鹏CPU、飞腾CPU、海光CPU、龙芯CPU等一系列商用的CPU硬件平台上。以GPU／NPU等硬件平台进行划分，可以广泛运行在ARM Mali GPU、Qualcomm Adreno GPU、NVIDIA GPU、AMD GPU、曙光的DCU、华为的昇腾NPU、寒武纪的思元NPU等一系列商用的AI加速硬件平台上。</w:t>
      </w:r>
    </w:p>
    <w:p w14:paraId="5CE63425">
      <w:pPr>
        <w:spacing w:after="0" w:line="240" w:lineRule="auto"/>
        <w:rPr>
          <w:kern w:val="0"/>
          <w:sz w:val="30"/>
          <w:szCs w:val="30"/>
        </w:rPr>
      </w:pPr>
      <w:r>
        <w:rPr>
          <w:kern w:val="0"/>
          <w:sz w:val="30"/>
          <w:szCs w:val="30"/>
        </w:rPr>
        <w:drawing>
          <wp:inline distT="0" distB="0" distL="114300" distR="114300">
            <wp:extent cx="5274310" cy="2640965"/>
            <wp:effectExtent l="0" t="0" r="13970" b="1079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7"/>
                    <a:stretch>
                      <a:fillRect/>
                    </a:stretch>
                  </pic:blipFill>
                  <pic:spPr>
                    <a:xfrm>
                      <a:off x="0" y="0"/>
                      <a:ext cx="5274310" cy="2640965"/>
                    </a:xfrm>
                    <a:prstGeom prst="rect">
                      <a:avLst/>
                    </a:prstGeom>
                    <a:noFill/>
                    <a:ln>
                      <a:noFill/>
                    </a:ln>
                  </pic:spPr>
                </pic:pic>
              </a:graphicData>
            </a:graphic>
          </wp:inline>
        </w:drawing>
      </w:r>
    </w:p>
    <w:p w14:paraId="12C88094">
      <w:pPr>
        <w:pStyle w:val="2"/>
        <w:jc w:val="center"/>
        <w:rPr>
          <w:rFonts w:hint="default" w:eastAsia="宋体"/>
          <w:sz w:val="24"/>
          <w:szCs w:val="24"/>
          <w:lang w:val="en-US" w:eastAsia="zh-CN"/>
        </w:rPr>
      </w:pPr>
      <w:r>
        <w:rPr>
          <w:rFonts w:hint="eastAsia"/>
          <w:kern w:val="0"/>
          <w:sz w:val="24"/>
          <w:szCs w:val="24"/>
          <w:lang w:val="en-US" w:eastAsia="zh-CN"/>
        </w:rPr>
        <w:t xml:space="preserve">图2 </w:t>
      </w:r>
      <w:r>
        <w:rPr>
          <w:sz w:val="24"/>
          <w:szCs w:val="24"/>
        </w:rPr>
        <w:t>deepnet算法框架</w:t>
      </w:r>
    </w:p>
    <w:p w14:paraId="066B490F">
      <w:pPr>
        <w:spacing w:after="0" w:line="560" w:lineRule="exact"/>
        <w:ind w:firstLine="560" w:firstLineChars="200"/>
        <w:rPr>
          <w:sz w:val="28"/>
          <w:szCs w:val="28"/>
        </w:rPr>
      </w:pPr>
      <w:r>
        <w:rPr>
          <w:sz w:val="28"/>
          <w:szCs w:val="28"/>
        </w:rPr>
        <w:t>异构计算的运行时库包括多个主要的模块，一个是模型转换模块，一个是异构推理计算模块，一个是模型压缩量化模块，一个是云端多卡推理服务。</w:t>
      </w:r>
    </w:p>
    <w:p w14:paraId="5CDE8137">
      <w:pPr>
        <w:spacing w:after="0" w:line="560" w:lineRule="exact"/>
        <w:ind w:firstLine="560" w:firstLineChars="200"/>
        <w:rPr>
          <w:sz w:val="28"/>
          <w:szCs w:val="28"/>
        </w:rPr>
      </w:pPr>
      <w:r>
        <w:rPr>
          <w:sz w:val="28"/>
          <w:szCs w:val="28"/>
        </w:rPr>
        <w:t>①模型转换</w:t>
      </w:r>
    </w:p>
    <w:p w14:paraId="5F1000BB">
      <w:pPr>
        <w:spacing w:after="0" w:line="560" w:lineRule="exact"/>
        <w:ind w:firstLine="560" w:firstLineChars="200"/>
        <w:rPr>
          <w:sz w:val="28"/>
          <w:szCs w:val="28"/>
        </w:rPr>
      </w:pPr>
      <w:r>
        <w:rPr>
          <w:sz w:val="28"/>
          <w:szCs w:val="28"/>
        </w:rPr>
        <w:t>模型转换模块负责将不同标准类型的神经网络模型，譬如Caffe、Tensorflow、Pytorch／ONNX模型转换成云从的模型表达格式，然后进行算子替换、算子融合、内存布局调整等图优化操作，最大化地提升模型对内存的复用，在模型推理阶段提升推理的速度与性能，如下图所示：</w:t>
      </w:r>
    </w:p>
    <w:p w14:paraId="03F8F967">
      <w:pPr>
        <w:spacing w:after="0" w:line="240" w:lineRule="auto"/>
        <w:jc w:val="center"/>
      </w:pPr>
      <w:r>
        <w:drawing>
          <wp:inline distT="0" distB="0" distL="114300" distR="114300">
            <wp:extent cx="3254375" cy="1483995"/>
            <wp:effectExtent l="0" t="0" r="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8"/>
                    <a:srcRect b="12864"/>
                    <a:stretch>
                      <a:fillRect/>
                    </a:stretch>
                  </pic:blipFill>
                  <pic:spPr>
                    <a:xfrm>
                      <a:off x="0" y="0"/>
                      <a:ext cx="3254375" cy="1483995"/>
                    </a:xfrm>
                    <a:prstGeom prst="rect">
                      <a:avLst/>
                    </a:prstGeom>
                    <a:noFill/>
                    <a:ln>
                      <a:noFill/>
                    </a:ln>
                  </pic:spPr>
                </pic:pic>
              </a:graphicData>
            </a:graphic>
          </wp:inline>
        </w:drawing>
      </w:r>
    </w:p>
    <w:p w14:paraId="2CFCFF0C">
      <w:pPr>
        <w:pStyle w:val="2"/>
        <w:jc w:val="center"/>
        <w:rPr>
          <w:rFonts w:hint="default" w:eastAsia="宋体"/>
          <w:sz w:val="24"/>
          <w:szCs w:val="24"/>
          <w:lang w:val="en-US" w:eastAsia="zh-CN"/>
        </w:rPr>
      </w:pPr>
      <w:r>
        <w:rPr>
          <w:rFonts w:hint="eastAsia"/>
          <w:kern w:val="0"/>
          <w:sz w:val="24"/>
          <w:szCs w:val="24"/>
          <w:lang w:val="en-US" w:eastAsia="zh-CN"/>
        </w:rPr>
        <w:t xml:space="preserve">图3 </w:t>
      </w:r>
      <w:r>
        <w:rPr>
          <w:rFonts w:hint="eastAsia"/>
          <w:sz w:val="24"/>
          <w:szCs w:val="24"/>
          <w:lang w:val="en-US" w:eastAsia="zh-CN"/>
        </w:rPr>
        <w:t>模型转换</w:t>
      </w:r>
    </w:p>
    <w:p w14:paraId="0687AB81">
      <w:pPr>
        <w:spacing w:after="0" w:line="560" w:lineRule="exact"/>
        <w:ind w:firstLine="560" w:firstLineChars="200"/>
        <w:rPr>
          <w:sz w:val="28"/>
          <w:szCs w:val="28"/>
        </w:rPr>
      </w:pPr>
    </w:p>
    <w:p w14:paraId="01849460">
      <w:pPr>
        <w:spacing w:after="0" w:line="560" w:lineRule="exact"/>
        <w:ind w:firstLine="560" w:firstLineChars="200"/>
        <w:rPr>
          <w:sz w:val="28"/>
          <w:szCs w:val="28"/>
        </w:rPr>
      </w:pPr>
      <w:r>
        <w:rPr>
          <w:sz w:val="28"/>
          <w:szCs w:val="28"/>
        </w:rPr>
        <w:t>②型压缩量化</w:t>
      </w:r>
    </w:p>
    <w:p w14:paraId="563CE3F1">
      <w:pPr>
        <w:spacing w:after="0" w:line="560" w:lineRule="exact"/>
        <w:ind w:firstLine="560" w:firstLineChars="200"/>
        <w:rPr>
          <w:sz w:val="28"/>
          <w:szCs w:val="28"/>
        </w:rPr>
      </w:pPr>
      <w:r>
        <w:rPr>
          <w:sz w:val="28"/>
          <w:szCs w:val="28"/>
        </w:rPr>
        <w:t>模型压缩量化模块负责对训练好的神经网络模型进行压缩，以在尽量保持模型精度损失最小的情况下进一步提升模型推理的速度和性能。压缩的策略包括低比特的量化（譬如INT8或者INT4的量化）、知识蒸馏（用一个Teacher的大模型训练一个Student的小模型）、稀疏化剪枝（譬如结构化剪枝、非结构化剪枝）。</w:t>
      </w:r>
    </w:p>
    <w:p w14:paraId="79016FD0">
      <w:pPr>
        <w:spacing w:after="0" w:line="560" w:lineRule="exact"/>
        <w:ind w:firstLine="560" w:firstLineChars="200"/>
        <w:rPr>
          <w:sz w:val="28"/>
          <w:szCs w:val="28"/>
        </w:rPr>
      </w:pPr>
      <w:r>
        <w:rPr>
          <w:sz w:val="28"/>
          <w:szCs w:val="28"/>
        </w:rPr>
        <w:t>③异构推理计算</w:t>
      </w:r>
    </w:p>
    <w:p w14:paraId="472B6D02">
      <w:pPr>
        <w:spacing w:after="0" w:line="560" w:lineRule="exact"/>
        <w:ind w:firstLine="560" w:firstLineChars="200"/>
        <w:rPr>
          <w:sz w:val="28"/>
          <w:szCs w:val="28"/>
        </w:rPr>
      </w:pPr>
      <w:r>
        <w:rPr>
          <w:sz w:val="28"/>
          <w:szCs w:val="28"/>
        </w:rPr>
        <w:t>异构推理计算模块负责神经网络模型的在线推理和计算，需要对模型需要的所有算子在不同的硬件平台上进行高效地实现，包括上述的CPU、GPU、NPU等硬件平台。其中最重要的工作是对模型的卷积运算在不同的硬件平台上进行优化，以获取最高性能的推理计算。卷积运算的优化策略包括直接卷积计算、Im2Col＋Pack＋GEMM计算、Winograd计算、Strassen计算、FFT计算等。需要根据硬件平台的型号、支持的指令集、L1/L2/L3 Cache大小、Cache类型、寄存器大小和容量、计算核的数量、卷积核的大小等硬件特性和卷积算子特性，优化上述卷积计算的算法在不同硬件平台上的性能以获取最大化的模型推理速度，如下图所示：</w:t>
      </w:r>
    </w:p>
    <w:p w14:paraId="6801B5AC">
      <w:pPr>
        <w:spacing w:after="0" w:line="240" w:lineRule="auto"/>
        <w:jc w:val="center"/>
      </w:pPr>
      <w:r>
        <w:drawing>
          <wp:inline distT="0" distB="0" distL="114300" distR="114300">
            <wp:extent cx="3185795" cy="1532255"/>
            <wp:effectExtent l="0" t="0" r="0" b="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9"/>
                    <a:srcRect b="11417"/>
                    <a:stretch>
                      <a:fillRect/>
                    </a:stretch>
                  </pic:blipFill>
                  <pic:spPr>
                    <a:xfrm>
                      <a:off x="0" y="0"/>
                      <a:ext cx="3185795" cy="1532255"/>
                    </a:xfrm>
                    <a:prstGeom prst="rect">
                      <a:avLst/>
                    </a:prstGeom>
                    <a:noFill/>
                    <a:ln>
                      <a:noFill/>
                    </a:ln>
                  </pic:spPr>
                </pic:pic>
              </a:graphicData>
            </a:graphic>
          </wp:inline>
        </w:drawing>
      </w:r>
    </w:p>
    <w:p w14:paraId="2BCFDC70">
      <w:pPr>
        <w:pStyle w:val="2"/>
        <w:keepNext w:val="0"/>
        <w:keepLines w:val="0"/>
        <w:pageBreakBefore w:val="0"/>
        <w:widowControl w:val="0"/>
        <w:kinsoku/>
        <w:wordWrap/>
        <w:overflowPunct/>
        <w:topLinePunct w:val="0"/>
        <w:autoSpaceDE/>
        <w:autoSpaceDN/>
        <w:bidi w:val="0"/>
        <w:adjustRightInd/>
        <w:snapToGrid/>
        <w:spacing w:after="0" w:line="560" w:lineRule="exact"/>
        <w:ind w:right="0" w:firstLine="0" w:firstLineChars="0"/>
        <w:jc w:val="center"/>
        <w:textAlignment w:val="auto"/>
        <w:rPr>
          <w:rFonts w:hint="default" w:eastAsia="宋体"/>
          <w:sz w:val="22"/>
          <w:szCs w:val="32"/>
          <w:lang w:val="en-US" w:eastAsia="zh-CN"/>
        </w:rPr>
      </w:pPr>
      <w:r>
        <w:rPr>
          <w:rFonts w:hint="eastAsia"/>
          <w:sz w:val="22"/>
          <w:szCs w:val="32"/>
          <w:lang w:val="en-US" w:eastAsia="zh-CN"/>
        </w:rPr>
        <w:t>图4 异构推理计算</w:t>
      </w:r>
    </w:p>
    <w:p w14:paraId="24A3806C">
      <w:pPr>
        <w:keepNext w:val="0"/>
        <w:keepLines w:val="0"/>
        <w:pageBreakBefore w:val="0"/>
        <w:widowControl w:val="0"/>
        <w:kinsoku/>
        <w:wordWrap/>
        <w:overflowPunct/>
        <w:topLinePunct w:val="0"/>
        <w:autoSpaceDE/>
        <w:autoSpaceDN/>
        <w:bidi w:val="0"/>
        <w:adjustRightInd/>
        <w:snapToGrid/>
        <w:spacing w:after="0" w:line="560" w:lineRule="exact"/>
        <w:ind w:right="0" w:firstLine="560" w:firstLineChars="200"/>
        <w:textAlignment w:val="auto"/>
        <w:rPr>
          <w:sz w:val="28"/>
          <w:szCs w:val="28"/>
        </w:rPr>
      </w:pPr>
      <w:r>
        <w:rPr>
          <w:sz w:val="28"/>
          <w:szCs w:val="28"/>
        </w:rPr>
        <w:t>异构推理计算模块支持多种编程语言，包括SSE、SSE2、AVX2、AVX512、NEON汇编编程语言，CUDA、OpenCL编程语言，DSL、TIK编程语言，BANG编程语言，BM Lang编程语言。其中，SSE、SSE2、AVX2、AVX512、NEON汇编编程语言用在X86 CPU、ARM CPU硬件平台上的算子优化和加速。CUDA、OpenCL编程语言用在NVIDIA GPU、AMD GPU、曙光DCU硬件平台上的算子优化和加速。DSL、TIK编程语言用在华为昇腾硬件平台上的算子优化和加速。BANG编程语言用在寒武纪硬件平台上的算子优化和加速。BM Lang编程语言用在比特大陆硬件平台上的算子优化和加速。</w:t>
      </w:r>
    </w:p>
    <w:p w14:paraId="2F826928">
      <w:pPr>
        <w:spacing w:after="0" w:line="560" w:lineRule="exact"/>
        <w:ind w:firstLine="560" w:firstLineChars="200"/>
        <w:outlineLvl w:val="2"/>
        <w:rPr>
          <w:sz w:val="28"/>
          <w:szCs w:val="28"/>
        </w:rPr>
      </w:pPr>
      <w:r>
        <w:rPr>
          <w:sz w:val="28"/>
          <w:szCs w:val="28"/>
        </w:rPr>
        <w:t>3. 试验方法及结果</w:t>
      </w:r>
    </w:p>
    <w:p w14:paraId="3908E6AB">
      <w:pPr>
        <w:spacing w:after="0" w:line="560" w:lineRule="exact"/>
        <w:ind w:firstLine="560" w:firstLineChars="200"/>
        <w:rPr>
          <w:sz w:val="28"/>
          <w:szCs w:val="28"/>
        </w:rPr>
      </w:pPr>
      <w:r>
        <w:rPr>
          <w:sz w:val="28"/>
          <w:szCs w:val="28"/>
        </w:rPr>
        <w:t>研制了四种边缘计算智能终端产品</w:t>
      </w:r>
    </w:p>
    <w:p w14:paraId="2585FE5F">
      <w:pPr>
        <w:spacing w:after="0" w:line="560" w:lineRule="exact"/>
        <w:ind w:firstLine="560" w:firstLineChars="200"/>
        <w:rPr>
          <w:sz w:val="28"/>
          <w:szCs w:val="28"/>
        </w:rPr>
      </w:pPr>
      <w:r>
        <w:rPr>
          <w:rFonts w:hint="eastAsia"/>
          <w:sz w:val="28"/>
          <w:szCs w:val="28"/>
        </w:rPr>
        <w:t>（1）</w:t>
      </w:r>
      <w:r>
        <w:rPr>
          <w:sz w:val="28"/>
          <w:szCs w:val="28"/>
        </w:rPr>
        <w:t>鸿钧智能分析盒</w:t>
      </w:r>
    </w:p>
    <w:p w14:paraId="207C4A98">
      <w:pPr>
        <w:spacing w:after="0" w:line="240" w:lineRule="auto"/>
        <w:ind w:firstLine="420" w:firstLineChars="200"/>
      </w:pPr>
      <w:r>
        <w:drawing>
          <wp:inline distT="0" distB="0" distL="114300" distR="114300">
            <wp:extent cx="2105025" cy="1109345"/>
            <wp:effectExtent l="0" t="0" r="1333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2105025" cy="1109345"/>
                    </a:xfrm>
                    <a:prstGeom prst="rect">
                      <a:avLst/>
                    </a:prstGeom>
                    <a:noFill/>
                    <a:ln>
                      <a:noFill/>
                    </a:ln>
                  </pic:spPr>
                </pic:pic>
              </a:graphicData>
            </a:graphic>
          </wp:inline>
        </w:drawing>
      </w:r>
      <w:r>
        <w:drawing>
          <wp:inline distT="0" distB="0" distL="114300" distR="114300">
            <wp:extent cx="2453005" cy="1151255"/>
            <wp:effectExtent l="0" t="0" r="635"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2453005" cy="1151255"/>
                    </a:xfrm>
                    <a:prstGeom prst="rect">
                      <a:avLst/>
                    </a:prstGeom>
                    <a:noFill/>
                    <a:ln>
                      <a:noFill/>
                    </a:ln>
                  </pic:spPr>
                </pic:pic>
              </a:graphicData>
            </a:graphic>
          </wp:inline>
        </w:drawing>
      </w:r>
    </w:p>
    <w:p w14:paraId="1CD7674C">
      <w:pPr>
        <w:pStyle w:val="2"/>
        <w:jc w:val="center"/>
        <w:rPr>
          <w:rFonts w:hint="default" w:eastAsia="宋体"/>
          <w:lang w:val="en-US" w:eastAsia="zh-CN"/>
        </w:rPr>
      </w:pPr>
      <w:r>
        <w:rPr>
          <w:rFonts w:hint="eastAsia"/>
          <w:sz w:val="24"/>
          <w:szCs w:val="24"/>
          <w:lang w:val="en-US" w:eastAsia="zh-CN"/>
        </w:rPr>
        <w:t xml:space="preserve">图5 </w:t>
      </w:r>
      <w:r>
        <w:rPr>
          <w:sz w:val="24"/>
          <w:szCs w:val="24"/>
        </w:rPr>
        <w:t>鸿钧智能分析盒</w:t>
      </w:r>
    </w:p>
    <w:p w14:paraId="5B467904">
      <w:pPr>
        <w:spacing w:after="0" w:line="560" w:lineRule="exact"/>
        <w:ind w:firstLine="560" w:firstLineChars="200"/>
        <w:rPr>
          <w:sz w:val="28"/>
          <w:szCs w:val="28"/>
        </w:rPr>
      </w:pPr>
      <w:r>
        <w:rPr>
          <w:sz w:val="28"/>
          <w:szCs w:val="28"/>
        </w:rPr>
        <w:t>本产品搭载云从自研的人脸抓拍、人脸识别、以及九种人脸属性算法，支持接入云从或第三方网络摄像机、人脸抓拍机的视图信息进行解析识别，可管理云从人脸识别终端、认证合一设备、人脸门控控制终端等智能设备，可实现边缘侧人员管理、数据采集、设备管理闭环。此边缘设备适用于社区、园区、学校、医院、企业、政府单位等场景，实现人员车辆布控报警、智能门禁改造升级。</w:t>
      </w:r>
    </w:p>
    <w:p w14:paraId="399D7974">
      <w:pPr>
        <w:pStyle w:val="5"/>
        <w:spacing w:after="0" w:line="240" w:lineRule="auto"/>
      </w:pPr>
      <w:r>
        <w:drawing>
          <wp:inline distT="0" distB="0" distL="114300" distR="114300">
            <wp:extent cx="5266690" cy="2570480"/>
            <wp:effectExtent l="0" t="0" r="635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266690" cy="2570480"/>
                    </a:xfrm>
                    <a:prstGeom prst="rect">
                      <a:avLst/>
                    </a:prstGeom>
                    <a:noFill/>
                    <a:ln>
                      <a:noFill/>
                    </a:ln>
                  </pic:spPr>
                </pic:pic>
              </a:graphicData>
            </a:graphic>
          </wp:inline>
        </w:drawing>
      </w:r>
    </w:p>
    <w:p w14:paraId="345C87B9">
      <w:pPr>
        <w:pStyle w:val="5"/>
        <w:spacing w:after="0" w:line="240" w:lineRule="auto"/>
      </w:pPr>
      <w:r>
        <w:drawing>
          <wp:inline distT="0" distB="0" distL="114300" distR="114300">
            <wp:extent cx="5266055" cy="2414905"/>
            <wp:effectExtent l="0" t="0" r="6985" b="8255"/>
            <wp:docPr id="2" name="图片 4" descr="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图片36"/>
                    <pic:cNvPicPr>
                      <a:picLocks noChangeAspect="1"/>
                    </pic:cNvPicPr>
                  </pic:nvPicPr>
                  <pic:blipFill>
                    <a:blip r:embed="rId13"/>
                    <a:stretch>
                      <a:fillRect/>
                    </a:stretch>
                  </pic:blipFill>
                  <pic:spPr>
                    <a:xfrm>
                      <a:off x="0" y="0"/>
                      <a:ext cx="5266055" cy="2414905"/>
                    </a:xfrm>
                    <a:prstGeom prst="rect">
                      <a:avLst/>
                    </a:prstGeom>
                    <a:noFill/>
                    <a:ln>
                      <a:noFill/>
                    </a:ln>
                  </pic:spPr>
                </pic:pic>
              </a:graphicData>
            </a:graphic>
          </wp:inline>
        </w:drawing>
      </w:r>
    </w:p>
    <w:p w14:paraId="5CCF9B7F">
      <w:pPr>
        <w:pStyle w:val="5"/>
        <w:spacing w:after="0" w:line="240" w:lineRule="auto"/>
      </w:pPr>
      <w:r>
        <w:drawing>
          <wp:inline distT="0" distB="0" distL="114300" distR="114300">
            <wp:extent cx="5266055" cy="2543810"/>
            <wp:effectExtent l="0" t="0" r="6985" b="1270"/>
            <wp:docPr id="1" name="图片 5" descr="图片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图片57"/>
                    <pic:cNvPicPr>
                      <a:picLocks noChangeAspect="1"/>
                    </pic:cNvPicPr>
                  </pic:nvPicPr>
                  <pic:blipFill>
                    <a:blip r:embed="rId14"/>
                    <a:stretch>
                      <a:fillRect/>
                    </a:stretch>
                  </pic:blipFill>
                  <pic:spPr>
                    <a:xfrm>
                      <a:off x="0" y="0"/>
                      <a:ext cx="5266055" cy="2543810"/>
                    </a:xfrm>
                    <a:prstGeom prst="rect">
                      <a:avLst/>
                    </a:prstGeom>
                    <a:noFill/>
                    <a:ln>
                      <a:noFill/>
                    </a:ln>
                  </pic:spPr>
                </pic:pic>
              </a:graphicData>
            </a:graphic>
          </wp:inline>
        </w:drawing>
      </w:r>
    </w:p>
    <w:p w14:paraId="499838A0">
      <w:pPr>
        <w:spacing w:after="0" w:line="560" w:lineRule="exact"/>
        <w:ind w:firstLine="480" w:firstLineChars="200"/>
        <w:jc w:val="center"/>
        <w:rPr>
          <w:rFonts w:hint="eastAsia"/>
          <w:sz w:val="24"/>
          <w:szCs w:val="24"/>
          <w:lang w:val="en-US" w:eastAsia="zh-CN"/>
        </w:rPr>
      </w:pPr>
      <w:r>
        <w:rPr>
          <w:rFonts w:hint="eastAsia"/>
          <w:sz w:val="24"/>
          <w:szCs w:val="24"/>
          <w:lang w:val="en-US" w:eastAsia="zh-CN"/>
        </w:rPr>
        <w:t>图6 应用界面</w:t>
      </w:r>
    </w:p>
    <w:p w14:paraId="070D859E">
      <w:pPr>
        <w:pStyle w:val="2"/>
        <w:rPr>
          <w:rFonts w:hint="eastAsia"/>
          <w:sz w:val="24"/>
          <w:szCs w:val="24"/>
          <w:lang w:val="en-US" w:eastAsia="zh-CN"/>
        </w:rPr>
      </w:pPr>
    </w:p>
    <w:p w14:paraId="48BDDFCD">
      <w:pPr>
        <w:pStyle w:val="3"/>
        <w:rPr>
          <w:rFonts w:hint="default"/>
          <w:lang w:val="en-US" w:eastAsia="zh-CN"/>
        </w:rPr>
      </w:pPr>
    </w:p>
    <w:p w14:paraId="238D486E">
      <w:pPr>
        <w:spacing w:after="0" w:line="560" w:lineRule="exact"/>
        <w:ind w:firstLine="560" w:firstLineChars="200"/>
        <w:rPr>
          <w:sz w:val="28"/>
          <w:szCs w:val="28"/>
        </w:rPr>
      </w:pPr>
      <w:r>
        <w:rPr>
          <w:rFonts w:hint="eastAsia"/>
          <w:sz w:val="28"/>
          <w:szCs w:val="28"/>
        </w:rPr>
        <w:t>（2）</w:t>
      </w:r>
      <w:r>
        <w:rPr>
          <w:sz w:val="28"/>
          <w:szCs w:val="28"/>
        </w:rPr>
        <w:t>谛格AI定义小站</w:t>
      </w:r>
    </w:p>
    <w:p w14:paraId="7E207002">
      <w:pPr>
        <w:spacing w:after="0" w:line="240" w:lineRule="auto"/>
        <w:jc w:val="center"/>
      </w:pPr>
      <w:r>
        <w:drawing>
          <wp:inline distT="0" distB="0" distL="114300" distR="114300">
            <wp:extent cx="3689350" cy="1536700"/>
            <wp:effectExtent l="0" t="0" r="139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3689350" cy="1536700"/>
                    </a:xfrm>
                    <a:prstGeom prst="rect">
                      <a:avLst/>
                    </a:prstGeom>
                    <a:noFill/>
                    <a:ln>
                      <a:noFill/>
                    </a:ln>
                  </pic:spPr>
                </pic:pic>
              </a:graphicData>
            </a:graphic>
          </wp:inline>
        </w:drawing>
      </w:r>
    </w:p>
    <w:p w14:paraId="13ABD917">
      <w:pPr>
        <w:pStyle w:val="2"/>
        <w:keepNext w:val="0"/>
        <w:keepLines w:val="0"/>
        <w:pageBreakBefore w:val="0"/>
        <w:widowControl w:val="0"/>
        <w:kinsoku/>
        <w:wordWrap/>
        <w:overflowPunct/>
        <w:topLinePunct w:val="0"/>
        <w:autoSpaceDE/>
        <w:autoSpaceDN/>
        <w:bidi w:val="0"/>
        <w:adjustRightInd/>
        <w:snapToGrid/>
        <w:spacing w:after="0" w:line="560" w:lineRule="exact"/>
        <w:ind w:right="0"/>
        <w:jc w:val="center"/>
        <w:textAlignment w:val="auto"/>
        <w:rPr>
          <w:rFonts w:hint="default" w:eastAsia="宋体"/>
          <w:sz w:val="24"/>
          <w:szCs w:val="24"/>
          <w:lang w:val="en-US" w:eastAsia="zh-CN"/>
        </w:rPr>
      </w:pPr>
      <w:r>
        <w:rPr>
          <w:rFonts w:hint="eastAsia"/>
          <w:sz w:val="24"/>
          <w:szCs w:val="24"/>
          <w:lang w:val="en-US" w:eastAsia="zh-CN"/>
        </w:rPr>
        <w:t xml:space="preserve">图7 </w:t>
      </w:r>
      <w:r>
        <w:rPr>
          <w:sz w:val="24"/>
          <w:szCs w:val="24"/>
        </w:rPr>
        <w:t>谛格AI定义小站</w:t>
      </w:r>
    </w:p>
    <w:p w14:paraId="3D760AF1">
      <w:pPr>
        <w:spacing w:after="0" w:line="560" w:lineRule="exact"/>
        <w:ind w:firstLine="560" w:firstLineChars="200"/>
        <w:rPr>
          <w:sz w:val="28"/>
          <w:szCs w:val="28"/>
        </w:rPr>
      </w:pPr>
      <w:r>
        <w:rPr>
          <w:sz w:val="28"/>
          <w:szCs w:val="28"/>
        </w:rPr>
        <w:t>本产品搭载云从自研的安全监测相关算法，实现烟火监测、跌倒监测、安全帽监测、人员聚集、人员在离岗检测、周界入侵报警。该产品支持接入云从或第三方网络摄像机，实现视频的相关算法解析。此边缘设备产品适用于工地、生产车间、值班室、仓库等场景，实现相关作业、管理人员、场景的安全监测。</w:t>
      </w:r>
    </w:p>
    <w:p w14:paraId="748E9019">
      <w:pPr>
        <w:pStyle w:val="5"/>
        <w:spacing w:after="0" w:line="240" w:lineRule="auto"/>
      </w:pPr>
      <w:r>
        <w:drawing>
          <wp:inline distT="0" distB="0" distL="114300" distR="114300">
            <wp:extent cx="5614670" cy="249047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614670" cy="2490470"/>
                    </a:xfrm>
                    <a:prstGeom prst="rect">
                      <a:avLst/>
                    </a:prstGeom>
                    <a:noFill/>
                    <a:ln>
                      <a:noFill/>
                    </a:ln>
                  </pic:spPr>
                </pic:pic>
              </a:graphicData>
            </a:graphic>
          </wp:inline>
        </w:drawing>
      </w:r>
    </w:p>
    <w:p w14:paraId="1C3AF30A">
      <w:pPr>
        <w:pStyle w:val="5"/>
        <w:spacing w:after="0" w:line="240" w:lineRule="auto"/>
      </w:pPr>
      <w:r>
        <w:drawing>
          <wp:inline distT="0" distB="0" distL="114300" distR="114300">
            <wp:extent cx="4244340" cy="1978660"/>
            <wp:effectExtent l="0" t="0" r="7620" b="254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17"/>
                    <a:stretch>
                      <a:fillRect/>
                    </a:stretch>
                  </pic:blipFill>
                  <pic:spPr>
                    <a:xfrm>
                      <a:off x="0" y="0"/>
                      <a:ext cx="4244340" cy="1978660"/>
                    </a:xfrm>
                    <a:prstGeom prst="rect">
                      <a:avLst/>
                    </a:prstGeom>
                    <a:noFill/>
                    <a:ln>
                      <a:noFill/>
                    </a:ln>
                  </pic:spPr>
                </pic:pic>
              </a:graphicData>
            </a:graphic>
          </wp:inline>
        </w:drawing>
      </w:r>
    </w:p>
    <w:p w14:paraId="1C8A8619">
      <w:pPr>
        <w:pStyle w:val="5"/>
        <w:spacing w:after="0" w:line="240" w:lineRule="auto"/>
      </w:pPr>
      <w:r>
        <w:drawing>
          <wp:inline distT="0" distB="0" distL="114300" distR="114300">
            <wp:extent cx="5628640" cy="2604135"/>
            <wp:effectExtent l="0" t="0" r="10160" b="190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8"/>
                    <a:stretch>
                      <a:fillRect/>
                    </a:stretch>
                  </pic:blipFill>
                  <pic:spPr>
                    <a:xfrm>
                      <a:off x="0" y="0"/>
                      <a:ext cx="5628640" cy="2604135"/>
                    </a:xfrm>
                    <a:prstGeom prst="rect">
                      <a:avLst/>
                    </a:prstGeom>
                    <a:noFill/>
                    <a:ln>
                      <a:noFill/>
                    </a:ln>
                  </pic:spPr>
                </pic:pic>
              </a:graphicData>
            </a:graphic>
          </wp:inline>
        </w:drawing>
      </w:r>
    </w:p>
    <w:p w14:paraId="47FD83B8">
      <w:pPr>
        <w:spacing w:after="0" w:line="560" w:lineRule="exact"/>
        <w:ind w:firstLine="480" w:firstLineChars="200"/>
        <w:jc w:val="center"/>
        <w:rPr>
          <w:rFonts w:hint="default"/>
          <w:sz w:val="24"/>
          <w:szCs w:val="24"/>
          <w:lang w:val="en-US" w:eastAsia="zh-CN"/>
        </w:rPr>
      </w:pPr>
      <w:r>
        <w:rPr>
          <w:rFonts w:hint="eastAsia"/>
          <w:sz w:val="24"/>
          <w:szCs w:val="24"/>
          <w:lang w:val="en-US" w:eastAsia="zh-CN"/>
        </w:rPr>
        <w:t>图8 应用界面</w:t>
      </w:r>
    </w:p>
    <w:p w14:paraId="09474128">
      <w:pPr>
        <w:spacing w:after="0" w:line="560" w:lineRule="exact"/>
        <w:ind w:firstLine="560" w:firstLineChars="200"/>
        <w:rPr>
          <w:sz w:val="28"/>
          <w:szCs w:val="28"/>
        </w:rPr>
      </w:pPr>
      <w:r>
        <w:rPr>
          <w:rFonts w:hint="eastAsia"/>
          <w:sz w:val="28"/>
          <w:szCs w:val="28"/>
        </w:rPr>
        <w:t>（3）</w:t>
      </w:r>
      <w:r>
        <w:rPr>
          <w:sz w:val="28"/>
          <w:szCs w:val="28"/>
        </w:rPr>
        <w:t>扬帆AI智能盒</w:t>
      </w:r>
    </w:p>
    <w:p w14:paraId="0D9B475E">
      <w:pPr>
        <w:spacing w:after="0" w:line="240" w:lineRule="auto"/>
        <w:ind w:firstLine="420" w:firstLineChars="200"/>
        <w:jc w:val="distribute"/>
      </w:pPr>
      <w:r>
        <w:drawing>
          <wp:inline distT="0" distB="0" distL="114300" distR="114300">
            <wp:extent cx="2428875" cy="1442720"/>
            <wp:effectExtent l="0" t="0" r="9525" b="508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9"/>
                    <a:stretch>
                      <a:fillRect/>
                    </a:stretch>
                  </pic:blipFill>
                  <pic:spPr>
                    <a:xfrm>
                      <a:off x="0" y="0"/>
                      <a:ext cx="2428875" cy="1442720"/>
                    </a:xfrm>
                    <a:prstGeom prst="rect">
                      <a:avLst/>
                    </a:prstGeom>
                    <a:noFill/>
                    <a:ln>
                      <a:noFill/>
                    </a:ln>
                  </pic:spPr>
                </pic:pic>
              </a:graphicData>
            </a:graphic>
          </wp:inline>
        </w:drawing>
      </w:r>
      <w:r>
        <w:drawing>
          <wp:inline distT="0" distB="0" distL="114300" distR="114300">
            <wp:extent cx="2256790" cy="2195830"/>
            <wp:effectExtent l="0" t="0" r="0" b="0"/>
            <wp:docPr id="10" name="图片 11"/>
            <wp:cNvGraphicFramePr/>
            <a:graphic xmlns:a="http://schemas.openxmlformats.org/drawingml/2006/main">
              <a:graphicData uri="http://schemas.openxmlformats.org/drawingml/2006/picture">
                <pic:pic xmlns:pic="http://schemas.openxmlformats.org/drawingml/2006/picture">
                  <pic:nvPicPr>
                    <pic:cNvPr id="10" name="图片 11"/>
                    <pic:cNvPicPr/>
                  </pic:nvPicPr>
                  <pic:blipFill>
                    <a:blip r:embed="rId20"/>
                    <a:stretch>
                      <a:fillRect/>
                    </a:stretch>
                  </pic:blipFill>
                  <pic:spPr>
                    <a:xfrm>
                      <a:off x="0" y="0"/>
                      <a:ext cx="2256790" cy="2195830"/>
                    </a:xfrm>
                    <a:prstGeom prst="rect">
                      <a:avLst/>
                    </a:prstGeom>
                    <a:noFill/>
                    <a:ln>
                      <a:noFill/>
                    </a:ln>
                  </pic:spPr>
                </pic:pic>
              </a:graphicData>
            </a:graphic>
          </wp:inline>
        </w:drawing>
      </w:r>
    </w:p>
    <w:p w14:paraId="63CD67F1">
      <w:pPr>
        <w:pStyle w:val="2"/>
        <w:jc w:val="center"/>
        <w:rPr>
          <w:rFonts w:hint="default" w:eastAsia="宋体"/>
          <w:sz w:val="24"/>
          <w:szCs w:val="24"/>
          <w:lang w:val="en-US" w:eastAsia="zh-CN"/>
        </w:rPr>
      </w:pPr>
      <w:r>
        <w:rPr>
          <w:rFonts w:hint="eastAsia"/>
          <w:sz w:val="24"/>
          <w:szCs w:val="24"/>
          <w:lang w:val="en-US" w:eastAsia="zh-CN"/>
        </w:rPr>
        <w:t xml:space="preserve">图9 </w:t>
      </w:r>
      <w:r>
        <w:rPr>
          <w:sz w:val="24"/>
          <w:szCs w:val="24"/>
        </w:rPr>
        <w:t>扬帆AI智能盒</w:t>
      </w:r>
    </w:p>
    <w:p w14:paraId="190D9E98">
      <w:pPr>
        <w:spacing w:after="0" w:line="560" w:lineRule="exact"/>
        <w:ind w:firstLine="560" w:firstLineChars="200"/>
        <w:rPr>
          <w:sz w:val="28"/>
          <w:szCs w:val="28"/>
        </w:rPr>
      </w:pPr>
      <w:r>
        <w:rPr>
          <w:sz w:val="28"/>
          <w:szCs w:val="28"/>
        </w:rPr>
        <w:t>本产品搭载云从科技自有先进智能算法，针对边缘场景智能应用设计研发的嵌入式一体机设备。扬帆安全工地分析版本，通过接入8路网络摄像机RTSP视频流采集图像，自动识别现场施工人员是否佩戴安全帽等特征，判断人员是否按照要求进行安全施工，进行语音提醒和警告并对报警信息进行记录留存，为安全施工监督提供有力保障。适用于建筑工地、电力作业、路桥施工等对于安全监管有要求场景。</w:t>
      </w:r>
    </w:p>
    <w:p w14:paraId="3A89DE99">
      <w:pPr>
        <w:pStyle w:val="5"/>
        <w:spacing w:after="0" w:line="560" w:lineRule="exact"/>
        <w:ind w:firstLine="432" w:firstLineChars="200"/>
        <w:rPr>
          <w:szCs w:val="28"/>
        </w:rPr>
      </w:pPr>
    </w:p>
    <w:p w14:paraId="562D61F5">
      <w:pPr>
        <w:pStyle w:val="5"/>
        <w:spacing w:after="0" w:line="240" w:lineRule="auto"/>
      </w:pPr>
      <w:r>
        <w:drawing>
          <wp:inline distT="0" distB="0" distL="114300" distR="114300">
            <wp:extent cx="5270500" cy="2533015"/>
            <wp:effectExtent l="0" t="0" r="2540" b="1206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1"/>
                    <a:stretch>
                      <a:fillRect/>
                    </a:stretch>
                  </pic:blipFill>
                  <pic:spPr>
                    <a:xfrm>
                      <a:off x="0" y="0"/>
                      <a:ext cx="5270500" cy="2533015"/>
                    </a:xfrm>
                    <a:prstGeom prst="rect">
                      <a:avLst/>
                    </a:prstGeom>
                    <a:noFill/>
                    <a:ln>
                      <a:noFill/>
                    </a:ln>
                  </pic:spPr>
                </pic:pic>
              </a:graphicData>
            </a:graphic>
          </wp:inline>
        </w:drawing>
      </w:r>
    </w:p>
    <w:p w14:paraId="60C6E966">
      <w:pPr>
        <w:pStyle w:val="5"/>
        <w:spacing w:after="0" w:line="240" w:lineRule="auto"/>
      </w:pPr>
      <w:r>
        <w:drawing>
          <wp:inline distT="0" distB="0" distL="114300" distR="114300">
            <wp:extent cx="5270500" cy="2534920"/>
            <wp:effectExtent l="0" t="0" r="2540" b="1016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2"/>
                    <a:stretch>
                      <a:fillRect/>
                    </a:stretch>
                  </pic:blipFill>
                  <pic:spPr>
                    <a:xfrm>
                      <a:off x="0" y="0"/>
                      <a:ext cx="5270500" cy="2534920"/>
                    </a:xfrm>
                    <a:prstGeom prst="rect">
                      <a:avLst/>
                    </a:prstGeom>
                    <a:noFill/>
                    <a:ln>
                      <a:noFill/>
                    </a:ln>
                  </pic:spPr>
                </pic:pic>
              </a:graphicData>
            </a:graphic>
          </wp:inline>
        </w:drawing>
      </w:r>
    </w:p>
    <w:p w14:paraId="4FD0606A">
      <w:pPr>
        <w:pStyle w:val="5"/>
        <w:spacing w:after="0" w:line="240" w:lineRule="auto"/>
      </w:pPr>
      <w:r>
        <w:drawing>
          <wp:inline distT="0" distB="0" distL="114300" distR="114300">
            <wp:extent cx="5270500" cy="2392045"/>
            <wp:effectExtent l="0" t="0" r="2540" b="63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3"/>
                    <a:stretch>
                      <a:fillRect/>
                    </a:stretch>
                  </pic:blipFill>
                  <pic:spPr>
                    <a:xfrm>
                      <a:off x="0" y="0"/>
                      <a:ext cx="5270500" cy="2392045"/>
                    </a:xfrm>
                    <a:prstGeom prst="rect">
                      <a:avLst/>
                    </a:prstGeom>
                    <a:noFill/>
                    <a:ln>
                      <a:noFill/>
                    </a:ln>
                  </pic:spPr>
                </pic:pic>
              </a:graphicData>
            </a:graphic>
          </wp:inline>
        </w:drawing>
      </w:r>
    </w:p>
    <w:p w14:paraId="194D06E0">
      <w:pPr>
        <w:spacing w:after="0" w:line="560" w:lineRule="exact"/>
        <w:ind w:firstLine="480" w:firstLineChars="200"/>
        <w:jc w:val="center"/>
        <w:rPr>
          <w:rFonts w:hint="eastAsia"/>
          <w:sz w:val="24"/>
          <w:szCs w:val="24"/>
          <w:lang w:val="en-US" w:eastAsia="zh-CN"/>
        </w:rPr>
      </w:pPr>
      <w:r>
        <w:rPr>
          <w:rFonts w:hint="eastAsia"/>
          <w:sz w:val="24"/>
          <w:szCs w:val="24"/>
          <w:lang w:val="en-US" w:eastAsia="zh-CN"/>
        </w:rPr>
        <w:t>图10 应用界面</w:t>
      </w:r>
    </w:p>
    <w:p w14:paraId="31D122F6">
      <w:pPr>
        <w:pStyle w:val="2"/>
        <w:rPr>
          <w:rFonts w:hint="eastAsia"/>
          <w:sz w:val="24"/>
          <w:szCs w:val="24"/>
          <w:lang w:val="en-US" w:eastAsia="zh-CN"/>
        </w:rPr>
      </w:pPr>
    </w:p>
    <w:p w14:paraId="19A67B08">
      <w:pPr>
        <w:pStyle w:val="3"/>
        <w:rPr>
          <w:rFonts w:hint="default"/>
          <w:lang w:val="en-US" w:eastAsia="zh-CN"/>
        </w:rPr>
      </w:pPr>
      <w:bookmarkStart w:id="0" w:name="_GoBack"/>
      <w:bookmarkEnd w:id="0"/>
    </w:p>
    <w:p w14:paraId="080F954F">
      <w:pPr>
        <w:spacing w:after="0" w:line="560" w:lineRule="exact"/>
        <w:ind w:firstLine="560" w:firstLineChars="200"/>
        <w:rPr>
          <w:sz w:val="28"/>
          <w:szCs w:val="28"/>
        </w:rPr>
      </w:pPr>
      <w:r>
        <w:rPr>
          <w:rFonts w:hint="eastAsia"/>
          <w:sz w:val="28"/>
          <w:szCs w:val="28"/>
        </w:rPr>
        <w:t>（4）</w:t>
      </w:r>
      <w:r>
        <w:rPr>
          <w:sz w:val="28"/>
          <w:szCs w:val="28"/>
        </w:rPr>
        <w:t>新一代多模态大模型</w:t>
      </w:r>
    </w:p>
    <w:p w14:paraId="58DFA029">
      <w:pPr>
        <w:pStyle w:val="5"/>
        <w:spacing w:after="0" w:line="240" w:lineRule="auto"/>
      </w:pPr>
      <w:r>
        <w:drawing>
          <wp:inline distT="0" distB="0" distL="114300" distR="114300">
            <wp:extent cx="5273040" cy="2660650"/>
            <wp:effectExtent l="0" t="0" r="381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rcRect b="29258"/>
                    <a:stretch>
                      <a:fillRect/>
                    </a:stretch>
                  </pic:blipFill>
                  <pic:spPr>
                    <a:xfrm>
                      <a:off x="0" y="0"/>
                      <a:ext cx="5273040" cy="2661138"/>
                    </a:xfrm>
                    <a:prstGeom prst="rect">
                      <a:avLst/>
                    </a:prstGeom>
                    <a:noFill/>
                    <a:ln>
                      <a:noFill/>
                    </a:ln>
                  </pic:spPr>
                </pic:pic>
              </a:graphicData>
            </a:graphic>
          </wp:inline>
        </w:drawing>
      </w:r>
    </w:p>
    <w:p w14:paraId="2E257002">
      <w:pPr>
        <w:spacing w:after="0" w:line="560" w:lineRule="exact"/>
        <w:ind w:firstLine="480" w:firstLineChars="200"/>
        <w:jc w:val="center"/>
        <w:rPr>
          <w:rFonts w:hint="default"/>
          <w:sz w:val="24"/>
          <w:szCs w:val="24"/>
          <w:lang w:val="en-US" w:eastAsia="zh-CN"/>
        </w:rPr>
      </w:pPr>
      <w:r>
        <w:rPr>
          <w:rFonts w:hint="eastAsia"/>
          <w:sz w:val="24"/>
          <w:szCs w:val="24"/>
          <w:lang w:val="en-US" w:eastAsia="zh-CN"/>
        </w:rPr>
        <w:t>图11 新一代多模态大模型</w:t>
      </w:r>
    </w:p>
    <w:p w14:paraId="16102209">
      <w:pPr>
        <w:spacing w:after="0" w:line="560" w:lineRule="exact"/>
        <w:ind w:firstLine="560" w:firstLineChars="200"/>
        <w:rPr>
          <w:sz w:val="28"/>
          <w:szCs w:val="28"/>
        </w:rPr>
      </w:pPr>
      <w:r>
        <w:rPr>
          <w:sz w:val="28"/>
          <w:szCs w:val="28"/>
        </w:rPr>
        <w:t>本产品基于大模型技术，预置大模型训练推理一体化平台和模型服务应用。采用全国产化芯片，支持对不同参数量的从容基础大模型以及开源基础大模型进行微调优化和推理部署验证。让大模型通过私域数据和知识经验学习，便捷快速地构建大模型应用生产一站式平台，并迅速将其应用到用户专属的业务场景中。针对客户进行量身定制了对话开发、任务编排、插件执行、知识接入和提示工程等五种定制优化模式，以及办公、代码、客服、运维、营销和采购等十多种即开即用的丰富场景包，以满足用户的个性化需求，帮助客户低成本且快速形成自用的大模型。</w:t>
      </w:r>
    </w:p>
    <w:p w14:paraId="03F65E48">
      <w:pPr>
        <w:spacing w:after="0" w:line="240" w:lineRule="auto"/>
      </w:pPr>
      <w:r>
        <w:drawing>
          <wp:inline distT="0" distB="0" distL="114300" distR="114300">
            <wp:extent cx="5260340" cy="2522220"/>
            <wp:effectExtent l="0" t="0" r="12700" b="762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5"/>
                    <a:stretch>
                      <a:fillRect/>
                    </a:stretch>
                  </pic:blipFill>
                  <pic:spPr>
                    <a:xfrm>
                      <a:off x="0" y="0"/>
                      <a:ext cx="5260340" cy="2522220"/>
                    </a:xfrm>
                    <a:prstGeom prst="rect">
                      <a:avLst/>
                    </a:prstGeom>
                    <a:noFill/>
                    <a:ln>
                      <a:noFill/>
                    </a:ln>
                  </pic:spPr>
                </pic:pic>
              </a:graphicData>
            </a:graphic>
          </wp:inline>
        </w:drawing>
      </w:r>
    </w:p>
    <w:p w14:paraId="1D8BADAD">
      <w:pPr>
        <w:spacing w:after="0" w:line="240" w:lineRule="auto"/>
      </w:pPr>
      <w:r>
        <w:drawing>
          <wp:inline distT="0" distB="0" distL="114300" distR="114300">
            <wp:extent cx="5779770" cy="1667510"/>
            <wp:effectExtent l="0" t="0" r="11430" b="8890"/>
            <wp:docPr id="13" name="图片 99"/>
            <wp:cNvGraphicFramePr/>
            <a:graphic xmlns:a="http://schemas.openxmlformats.org/drawingml/2006/main">
              <a:graphicData uri="http://schemas.openxmlformats.org/drawingml/2006/picture">
                <pic:pic xmlns:pic="http://schemas.openxmlformats.org/drawingml/2006/picture">
                  <pic:nvPicPr>
                    <pic:cNvPr id="13" name="图片 99"/>
                    <pic:cNvPicPr/>
                  </pic:nvPicPr>
                  <pic:blipFill>
                    <a:blip r:embed="rId26"/>
                    <a:stretch>
                      <a:fillRect/>
                    </a:stretch>
                  </pic:blipFill>
                  <pic:spPr>
                    <a:xfrm>
                      <a:off x="0" y="0"/>
                      <a:ext cx="5779770" cy="1667510"/>
                    </a:xfrm>
                    <a:prstGeom prst="rect">
                      <a:avLst/>
                    </a:prstGeom>
                    <a:noFill/>
                    <a:ln>
                      <a:noFill/>
                    </a:ln>
                  </pic:spPr>
                </pic:pic>
              </a:graphicData>
            </a:graphic>
          </wp:inline>
        </w:drawing>
      </w:r>
      <w:r>
        <w:drawing>
          <wp:inline distT="0" distB="0" distL="114300" distR="114300">
            <wp:extent cx="5264150" cy="2520950"/>
            <wp:effectExtent l="0" t="0" r="889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7"/>
                    <a:stretch>
                      <a:fillRect/>
                    </a:stretch>
                  </pic:blipFill>
                  <pic:spPr>
                    <a:xfrm>
                      <a:off x="0" y="0"/>
                      <a:ext cx="5264150" cy="2520950"/>
                    </a:xfrm>
                    <a:prstGeom prst="rect">
                      <a:avLst/>
                    </a:prstGeom>
                    <a:noFill/>
                    <a:ln>
                      <a:noFill/>
                    </a:ln>
                  </pic:spPr>
                </pic:pic>
              </a:graphicData>
            </a:graphic>
          </wp:inline>
        </w:drawing>
      </w:r>
    </w:p>
    <w:p w14:paraId="4C45A996">
      <w:pPr>
        <w:spacing w:after="0" w:line="560" w:lineRule="exact"/>
        <w:ind w:firstLine="480" w:firstLineChars="200"/>
        <w:jc w:val="center"/>
        <w:rPr>
          <w:rFonts w:hint="default"/>
          <w:sz w:val="24"/>
          <w:szCs w:val="24"/>
          <w:lang w:val="en-US" w:eastAsia="zh-CN"/>
        </w:rPr>
      </w:pPr>
      <w:r>
        <w:rPr>
          <w:rFonts w:hint="eastAsia"/>
          <w:sz w:val="24"/>
          <w:szCs w:val="24"/>
          <w:lang w:val="en-US" w:eastAsia="zh-CN"/>
        </w:rPr>
        <w:t>图12 应用界面</w:t>
      </w:r>
    </w:p>
    <w:p w14:paraId="12927E32">
      <w:pPr>
        <w:snapToGrid w:val="0"/>
        <w:spacing w:after="0" w:line="560" w:lineRule="exact"/>
        <w:ind w:firstLine="640" w:firstLineChars="200"/>
        <w:outlineLvl w:val="1"/>
        <w:rPr>
          <w:color w:val="000000"/>
          <w:sz w:val="32"/>
          <w:szCs w:val="32"/>
        </w:rPr>
      </w:pPr>
      <w:r>
        <w:rPr>
          <w:color w:val="000000"/>
          <w:sz w:val="32"/>
          <w:szCs w:val="32"/>
        </w:rPr>
        <w:t>（三）项目实现的经济效益和社会效益情况</w:t>
      </w:r>
    </w:p>
    <w:p w14:paraId="19000E6C">
      <w:pPr>
        <w:spacing w:after="0" w:line="560" w:lineRule="exact"/>
        <w:ind w:firstLine="560" w:firstLineChars="200"/>
        <w:rPr>
          <w:sz w:val="28"/>
          <w:szCs w:val="28"/>
        </w:rPr>
      </w:pPr>
      <w:r>
        <w:rPr>
          <w:sz w:val="28"/>
          <w:szCs w:val="28"/>
        </w:rPr>
        <w:t>该技术与产品服务于各类智慧城市应用场景，包括天府数字城市项目，天府新区疫情防控系统，南沙智慧图书馆，大亚湾核电站视频分析平台，天津港港口大模型等项目，相关场景累计营收超过3000万。</w:t>
      </w:r>
    </w:p>
    <w:p w14:paraId="3235F8F0">
      <w:pPr>
        <w:spacing w:after="0" w:line="560" w:lineRule="exact"/>
        <w:ind w:firstLine="560" w:firstLineChars="200"/>
        <w:rPr>
          <w:sz w:val="28"/>
          <w:szCs w:val="28"/>
        </w:rPr>
      </w:pPr>
      <w:r>
        <w:rPr>
          <w:sz w:val="28"/>
          <w:szCs w:val="28"/>
        </w:rPr>
        <w:t>该技术提高云边端技术和硬件的水平，答复降低终端运算负载和数据传输压力，降低能耗和硬性成本，达到了降本增效的目的，同时也降低了整体系统的碳排放总量，实现绿色节能，环保减碳。</w:t>
      </w:r>
    </w:p>
    <w:p w14:paraId="5B9BCF66">
      <w:pPr>
        <w:spacing w:after="0" w:line="560" w:lineRule="exact"/>
        <w:ind w:firstLine="560" w:firstLineChars="200"/>
        <w:rPr>
          <w:sz w:val="28"/>
          <w:szCs w:val="28"/>
        </w:rPr>
      </w:pPr>
      <w:r>
        <w:rPr>
          <w:sz w:val="28"/>
          <w:szCs w:val="28"/>
        </w:rPr>
        <w:t>大模型的推广使用，能大幅促进技术进步优化，科技创新，降本增效，解决企业数字化转型实际应用价值的最后一公里问题。</w:t>
      </w:r>
    </w:p>
    <w:p w14:paraId="03706F73">
      <w:pPr>
        <w:spacing w:after="0" w:line="560" w:lineRule="exact"/>
        <w:ind w:firstLine="640" w:firstLineChars="200"/>
        <w:outlineLvl w:val="0"/>
        <w:rPr>
          <w:sz w:val="32"/>
          <w:szCs w:val="32"/>
        </w:rPr>
      </w:pPr>
      <w:r>
        <w:rPr>
          <w:sz w:val="32"/>
          <w:szCs w:val="32"/>
        </w:rPr>
        <w:t>三、项目存在的问题及解决方案</w:t>
      </w:r>
    </w:p>
    <w:p w14:paraId="0B7037C4">
      <w:pPr>
        <w:spacing w:after="0" w:line="560" w:lineRule="exact"/>
        <w:ind w:firstLine="560" w:firstLineChars="200"/>
        <w:rPr>
          <w:sz w:val="28"/>
          <w:szCs w:val="28"/>
        </w:rPr>
      </w:pPr>
      <w:r>
        <w:rPr>
          <w:sz w:val="28"/>
          <w:szCs w:val="28"/>
        </w:rPr>
        <w:t>大模型的自然语言和多模态处理领域取得了显著进展，但仍然存在一些关键问题</w:t>
      </w:r>
    </w:p>
    <w:p w14:paraId="6B181B63">
      <w:pPr>
        <w:numPr>
          <w:ilvl w:val="0"/>
          <w:numId w:val="5"/>
        </w:numPr>
        <w:spacing w:after="0" w:line="560" w:lineRule="exact"/>
        <w:ind w:firstLine="560" w:firstLineChars="200"/>
        <w:rPr>
          <w:sz w:val="28"/>
          <w:szCs w:val="28"/>
        </w:rPr>
      </w:pPr>
      <w:r>
        <w:rPr>
          <w:sz w:val="28"/>
          <w:szCs w:val="28"/>
        </w:rPr>
        <w:t>资源消耗大：训练和运行大模型需要庞大的计算资源和能源，成本高昂且对环境不友好。</w:t>
      </w:r>
    </w:p>
    <w:p w14:paraId="16DFA638">
      <w:pPr>
        <w:numPr>
          <w:ilvl w:val="0"/>
          <w:numId w:val="5"/>
        </w:numPr>
        <w:spacing w:after="0" w:line="560" w:lineRule="exact"/>
        <w:ind w:firstLine="560" w:firstLineChars="200"/>
        <w:rPr>
          <w:sz w:val="28"/>
          <w:szCs w:val="28"/>
        </w:rPr>
      </w:pPr>
      <w:r>
        <w:rPr>
          <w:sz w:val="28"/>
          <w:szCs w:val="28"/>
        </w:rPr>
        <w:t>泛化与常识理解局限：尽管模型参数量大，但在处理未见过的场景或应用人类基本常识时，其泛化能力和理解深度仍有待提高。</w:t>
      </w:r>
    </w:p>
    <w:p w14:paraId="1CF8728F">
      <w:pPr>
        <w:numPr>
          <w:ilvl w:val="0"/>
          <w:numId w:val="5"/>
        </w:numPr>
        <w:spacing w:after="0" w:line="560" w:lineRule="exact"/>
        <w:ind w:firstLine="560" w:firstLineChars="200"/>
        <w:rPr>
          <w:sz w:val="28"/>
          <w:szCs w:val="28"/>
        </w:rPr>
      </w:pPr>
      <w:r>
        <w:rPr>
          <w:sz w:val="28"/>
          <w:szCs w:val="28"/>
        </w:rPr>
        <w:t>数据偏见与公平性问题：模型可能从训练数据中继承并放大社会偏见，导致结果不公平，不符合伦理要求。</w:t>
      </w:r>
    </w:p>
    <w:p w14:paraId="024FA4FB">
      <w:pPr>
        <w:numPr>
          <w:ilvl w:val="0"/>
          <w:numId w:val="5"/>
        </w:numPr>
        <w:spacing w:after="0" w:line="560" w:lineRule="exact"/>
        <w:ind w:firstLine="560" w:firstLineChars="200"/>
        <w:rPr>
          <w:sz w:val="28"/>
          <w:szCs w:val="28"/>
        </w:rPr>
      </w:pPr>
      <w:r>
        <w:rPr>
          <w:sz w:val="28"/>
          <w:szCs w:val="28"/>
        </w:rPr>
        <w:t>可解释性低：大模型的决策过程复杂难解，缺乏透明度和可解释性，用户难以理解模型为何做出某种预测或决策。</w:t>
      </w:r>
    </w:p>
    <w:p w14:paraId="4478DA2B">
      <w:pPr>
        <w:numPr>
          <w:ilvl w:val="0"/>
          <w:numId w:val="5"/>
        </w:numPr>
        <w:spacing w:after="0" w:line="560" w:lineRule="exact"/>
        <w:ind w:firstLine="560" w:firstLineChars="200"/>
        <w:rPr>
          <w:sz w:val="28"/>
          <w:szCs w:val="28"/>
        </w:rPr>
      </w:pPr>
      <w:r>
        <w:rPr>
          <w:sz w:val="28"/>
          <w:szCs w:val="28"/>
        </w:rPr>
        <w:t>安全性与鲁棒性问题：大模型容易受到对抗样本攻击，即通过细微改动输入就能误导模型产生错误输出，显示出模型在安全性和鲁棒性上的缺陷。</w:t>
      </w:r>
    </w:p>
    <w:p w14:paraId="6B568B2C">
      <w:pPr>
        <w:spacing w:after="0" w:line="560" w:lineRule="exact"/>
        <w:ind w:firstLine="640" w:firstLineChars="200"/>
        <w:outlineLvl w:val="0"/>
        <w:rPr>
          <w:sz w:val="32"/>
          <w:szCs w:val="32"/>
        </w:rPr>
      </w:pPr>
      <w:r>
        <w:rPr>
          <w:sz w:val="32"/>
          <w:szCs w:val="32"/>
        </w:rPr>
        <w:t>四、企业未来发展思路</w:t>
      </w:r>
    </w:p>
    <w:p w14:paraId="722608DF">
      <w:pPr>
        <w:spacing w:after="0" w:line="560" w:lineRule="exact"/>
        <w:ind w:firstLine="560" w:firstLineChars="200"/>
        <w:rPr>
          <w:sz w:val="28"/>
          <w:szCs w:val="28"/>
        </w:rPr>
      </w:pPr>
      <w:r>
        <w:rPr>
          <w:sz w:val="28"/>
          <w:szCs w:val="28"/>
        </w:rPr>
        <w:t>针对通用大模型现存的问题，未来的研究和发展可以从以下几个方向着手：</w:t>
      </w:r>
    </w:p>
    <w:p w14:paraId="382F56D0">
      <w:pPr>
        <w:numPr>
          <w:ilvl w:val="0"/>
          <w:numId w:val="6"/>
        </w:numPr>
        <w:spacing w:after="0" w:line="560" w:lineRule="exact"/>
        <w:ind w:firstLine="560" w:firstLineChars="200"/>
        <w:rPr>
          <w:sz w:val="28"/>
          <w:szCs w:val="28"/>
        </w:rPr>
      </w:pPr>
      <w:r>
        <w:rPr>
          <w:sz w:val="28"/>
          <w:szCs w:val="28"/>
        </w:rPr>
        <w:t>模型优化与效率提升：研发更高效的训练方法和技术，比如知识蒸馏、模型剪枝、量化等，降低模型的计算和存储需求，同时保持或提高模型性能。</w:t>
      </w:r>
    </w:p>
    <w:p w14:paraId="0B223086">
      <w:pPr>
        <w:numPr>
          <w:ilvl w:val="0"/>
          <w:numId w:val="6"/>
        </w:numPr>
        <w:spacing w:after="0" w:line="560" w:lineRule="exact"/>
        <w:ind w:firstLine="560" w:firstLineChars="200"/>
        <w:rPr>
          <w:sz w:val="28"/>
          <w:szCs w:val="28"/>
        </w:rPr>
      </w:pPr>
      <w:r>
        <w:rPr>
          <w:sz w:val="28"/>
          <w:szCs w:val="28"/>
        </w:rPr>
        <w:t>增强模型泛化与常识推理能力：研究如何将更多形式的知识（如图谱、规则）融入模型，以及如何设计能够更好地模拟人类常识推理机制的新颖模型结构。</w:t>
      </w:r>
    </w:p>
    <w:p w14:paraId="39AC38AE">
      <w:pPr>
        <w:numPr>
          <w:ilvl w:val="0"/>
          <w:numId w:val="6"/>
        </w:numPr>
        <w:spacing w:after="0" w:line="560" w:lineRule="exact"/>
        <w:ind w:firstLine="560" w:firstLineChars="200"/>
        <w:rPr>
          <w:sz w:val="28"/>
          <w:szCs w:val="28"/>
        </w:rPr>
      </w:pPr>
      <w:r>
        <w:rPr>
          <w:sz w:val="28"/>
          <w:szCs w:val="28"/>
        </w:rPr>
        <w:t>解决偏见与公平性问题：开发有效的算法和工具监测、减轻甚至消除模型中的偏见，确保AI系统的公平性和包容性，例如引入公平性约束进行模型优化。</w:t>
      </w:r>
    </w:p>
    <w:p w14:paraId="1F07474D">
      <w:pPr>
        <w:numPr>
          <w:ilvl w:val="0"/>
          <w:numId w:val="6"/>
        </w:numPr>
        <w:spacing w:after="0" w:line="560" w:lineRule="exact"/>
        <w:ind w:firstLine="560" w:firstLineChars="200"/>
        <w:rPr>
          <w:sz w:val="28"/>
          <w:szCs w:val="28"/>
        </w:rPr>
      </w:pPr>
      <w:r>
        <w:rPr>
          <w:sz w:val="28"/>
          <w:szCs w:val="28"/>
        </w:rPr>
        <w:t>提高模型可解释性：研究可解释AI技术，让模型不仅能给出准确的结果，还能提供清晰的决策依据和过程说明，增加用户对模型的信任度。</w:t>
      </w:r>
    </w:p>
    <w:p w14:paraId="75471183">
      <w:pPr>
        <w:spacing w:after="0" w:line="560" w:lineRule="exact"/>
        <w:ind w:firstLine="560" w:firstLineChars="200"/>
        <w:rPr>
          <w:sz w:val="28"/>
          <w:szCs w:val="28"/>
        </w:rPr>
      </w:pPr>
      <w:r>
        <w:rPr>
          <w:sz w:val="28"/>
          <w:szCs w:val="28"/>
        </w:rPr>
        <w:t>5、增强模型的安全性和鲁棒性：开发针对对抗样本的防御策略，提高模型在面对恶意攻击时的稳定性和准确性，同时研究模型的内在脆弱性，预防潜在的安全风险。</w:t>
      </w:r>
    </w:p>
    <w:p w14:paraId="4277C5CD">
      <w:pPr>
        <w:spacing w:after="0" w:line="560" w:lineRule="exact"/>
        <w:ind w:firstLine="560" w:firstLineChars="200"/>
        <w:rPr>
          <w:color w:val="000000"/>
          <w:sz w:val="32"/>
          <w:szCs w:val="32"/>
        </w:rPr>
      </w:pPr>
      <w:r>
        <w:rPr>
          <w:sz w:val="28"/>
          <w:szCs w:val="28"/>
        </w:rPr>
        <w:t>6</w:t>
      </w:r>
      <w:r>
        <w:rPr>
          <w:rFonts w:hint="eastAsia"/>
          <w:sz w:val="28"/>
          <w:szCs w:val="28"/>
        </w:rPr>
        <w:t xml:space="preserve">. </w:t>
      </w:r>
      <w:r>
        <w:rPr>
          <w:sz w:val="28"/>
          <w:szCs w:val="28"/>
        </w:rPr>
        <w:t>丰富和改善训练数据：收集更加全面、多元且质量更高的训练数据，并探索如何在没有充足标注数据的情况下进行有效学习，例如自监督学习和半监督学习等方法。</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BF47CC"/>
    <w:multiLevelType w:val="singleLevel"/>
    <w:tmpl w:val="82BF47CC"/>
    <w:lvl w:ilvl="0" w:tentative="0">
      <w:start w:val="1"/>
      <w:numFmt w:val="decimal"/>
      <w:suff w:val="space"/>
      <w:lvlText w:val="%1."/>
      <w:lvlJc w:val="left"/>
    </w:lvl>
  </w:abstractNum>
  <w:abstractNum w:abstractNumId="1">
    <w:nsid w:val="9AC8A6D3"/>
    <w:multiLevelType w:val="singleLevel"/>
    <w:tmpl w:val="9AC8A6D3"/>
    <w:lvl w:ilvl="0" w:tentative="0">
      <w:start w:val="1"/>
      <w:numFmt w:val="decimal"/>
      <w:suff w:val="space"/>
      <w:lvlText w:val="%1."/>
      <w:lvlJc w:val="left"/>
    </w:lvl>
  </w:abstractNum>
  <w:abstractNum w:abstractNumId="2">
    <w:nsid w:val="CE5D8537"/>
    <w:multiLevelType w:val="singleLevel"/>
    <w:tmpl w:val="CE5D8537"/>
    <w:lvl w:ilvl="0" w:tentative="0">
      <w:start w:val="1"/>
      <w:numFmt w:val="chineseCounting"/>
      <w:suff w:val="nothing"/>
      <w:lvlText w:val="%1、"/>
      <w:lvlJc w:val="left"/>
      <w:rPr>
        <w:rFonts w:hint="eastAsia"/>
      </w:rPr>
    </w:lvl>
  </w:abstractNum>
  <w:abstractNum w:abstractNumId="3">
    <w:nsid w:val="DA4672C9"/>
    <w:multiLevelType w:val="singleLevel"/>
    <w:tmpl w:val="DA4672C9"/>
    <w:lvl w:ilvl="0" w:tentative="0">
      <w:start w:val="1"/>
      <w:numFmt w:val="decimal"/>
      <w:suff w:val="space"/>
      <w:lvlText w:val="%1."/>
      <w:lvlJc w:val="left"/>
    </w:lvl>
  </w:abstractNum>
  <w:abstractNum w:abstractNumId="4">
    <w:nsid w:val="DD8702C7"/>
    <w:multiLevelType w:val="singleLevel"/>
    <w:tmpl w:val="DD8702C7"/>
    <w:lvl w:ilvl="0" w:tentative="0">
      <w:start w:val="2"/>
      <w:numFmt w:val="decimal"/>
      <w:suff w:val="nothing"/>
      <w:lvlText w:val="（%1）"/>
      <w:lvlJc w:val="left"/>
    </w:lvl>
  </w:abstractNum>
  <w:abstractNum w:abstractNumId="5">
    <w:nsid w:val="3E87AA7D"/>
    <w:multiLevelType w:val="singleLevel"/>
    <w:tmpl w:val="3E87AA7D"/>
    <w:lvl w:ilvl="0" w:tentative="0">
      <w:start w:val="2"/>
      <w:numFmt w:val="chineseCounting"/>
      <w:suff w:val="nothing"/>
      <w:lvlText w:val="（%1）"/>
      <w:lvlJc w:val="left"/>
      <w:rPr>
        <w:rFonts w:hint="eastAsia"/>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JlMjZhNTU0MGQwYjY4OGM3YzQ5NTczMTU2OWE0MDcifQ=="/>
  </w:docVars>
  <w:rsids>
    <w:rsidRoot w:val="00890215"/>
    <w:rsid w:val="0036407C"/>
    <w:rsid w:val="00686287"/>
    <w:rsid w:val="00890215"/>
    <w:rsid w:val="00C804B9"/>
    <w:rsid w:val="0134409B"/>
    <w:rsid w:val="016A66D4"/>
    <w:rsid w:val="01A06E9D"/>
    <w:rsid w:val="045E6AFD"/>
    <w:rsid w:val="052B2F21"/>
    <w:rsid w:val="06976AC0"/>
    <w:rsid w:val="08316AA1"/>
    <w:rsid w:val="08F702D9"/>
    <w:rsid w:val="094445B2"/>
    <w:rsid w:val="0B0E70BB"/>
    <w:rsid w:val="0F753717"/>
    <w:rsid w:val="10BE10ED"/>
    <w:rsid w:val="12AA7B7B"/>
    <w:rsid w:val="12B47528"/>
    <w:rsid w:val="12CD7CE2"/>
    <w:rsid w:val="135F7C73"/>
    <w:rsid w:val="1463206D"/>
    <w:rsid w:val="1A6E0F60"/>
    <w:rsid w:val="1A741970"/>
    <w:rsid w:val="1AB32FF2"/>
    <w:rsid w:val="1AB56912"/>
    <w:rsid w:val="1BCD1520"/>
    <w:rsid w:val="1C512E16"/>
    <w:rsid w:val="1E085DDD"/>
    <w:rsid w:val="1E917E41"/>
    <w:rsid w:val="1F3173D2"/>
    <w:rsid w:val="1F332CA6"/>
    <w:rsid w:val="202A40A9"/>
    <w:rsid w:val="21157CAA"/>
    <w:rsid w:val="215A09BE"/>
    <w:rsid w:val="217B030D"/>
    <w:rsid w:val="23D04F68"/>
    <w:rsid w:val="2750722D"/>
    <w:rsid w:val="2C0D6C02"/>
    <w:rsid w:val="2C174818"/>
    <w:rsid w:val="2F61116A"/>
    <w:rsid w:val="2F934205"/>
    <w:rsid w:val="31DF4665"/>
    <w:rsid w:val="3450236E"/>
    <w:rsid w:val="361407EE"/>
    <w:rsid w:val="3696273A"/>
    <w:rsid w:val="36BF3346"/>
    <w:rsid w:val="386F72D7"/>
    <w:rsid w:val="39AA099D"/>
    <w:rsid w:val="3AFD443D"/>
    <w:rsid w:val="3B0F4170"/>
    <w:rsid w:val="3E1F291C"/>
    <w:rsid w:val="3F204B9E"/>
    <w:rsid w:val="40905D53"/>
    <w:rsid w:val="41390199"/>
    <w:rsid w:val="41825107"/>
    <w:rsid w:val="42995688"/>
    <w:rsid w:val="42AE233D"/>
    <w:rsid w:val="438D657A"/>
    <w:rsid w:val="43E55286"/>
    <w:rsid w:val="44E1092B"/>
    <w:rsid w:val="45823951"/>
    <w:rsid w:val="45FD03D1"/>
    <w:rsid w:val="465A6BE7"/>
    <w:rsid w:val="466C691A"/>
    <w:rsid w:val="47627777"/>
    <w:rsid w:val="48FD7CFE"/>
    <w:rsid w:val="4AE34BD5"/>
    <w:rsid w:val="4B164009"/>
    <w:rsid w:val="4BD72A88"/>
    <w:rsid w:val="4C4E1AF5"/>
    <w:rsid w:val="4DF96CE5"/>
    <w:rsid w:val="4E02228A"/>
    <w:rsid w:val="4F1D4C56"/>
    <w:rsid w:val="51B81C83"/>
    <w:rsid w:val="525E666F"/>
    <w:rsid w:val="547A66A6"/>
    <w:rsid w:val="54CF07A0"/>
    <w:rsid w:val="55B34DDE"/>
    <w:rsid w:val="56535401"/>
    <w:rsid w:val="59266DFD"/>
    <w:rsid w:val="59BB5797"/>
    <w:rsid w:val="5A2F7594"/>
    <w:rsid w:val="5D942587"/>
    <w:rsid w:val="5E8C3182"/>
    <w:rsid w:val="600D5DA5"/>
    <w:rsid w:val="62D33B51"/>
    <w:rsid w:val="631D41F6"/>
    <w:rsid w:val="64966BE4"/>
    <w:rsid w:val="64C71494"/>
    <w:rsid w:val="66576847"/>
    <w:rsid w:val="66AE39B5"/>
    <w:rsid w:val="6739419F"/>
    <w:rsid w:val="6DCF4F15"/>
    <w:rsid w:val="6E004543"/>
    <w:rsid w:val="70C745CA"/>
    <w:rsid w:val="70FB3204"/>
    <w:rsid w:val="72B648F6"/>
    <w:rsid w:val="72C471BB"/>
    <w:rsid w:val="782172DC"/>
    <w:rsid w:val="788F1E71"/>
    <w:rsid w:val="78BD078C"/>
    <w:rsid w:val="790947FB"/>
    <w:rsid w:val="79AB2CDA"/>
    <w:rsid w:val="79E8327B"/>
    <w:rsid w:val="7A8C4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spacing w:after="160" w:line="278" w:lineRule="auto"/>
      <w:jc w:val="both"/>
    </w:pPr>
    <w:rPr>
      <w:rFonts w:ascii="Times New Roman" w:hAnsi="Times New Roman" w:eastAsia="宋体" w:cs="Times New Roman"/>
      <w:kern w:val="2"/>
      <w:sz w:val="21"/>
      <w:szCs w:val="22"/>
      <w:lang w:val="en-US" w:eastAsia="zh-CN" w:bidi="ar-SA"/>
    </w:rPr>
  </w:style>
  <w:style w:type="paragraph" w:styleId="4">
    <w:name w:val="heading 2"/>
    <w:basedOn w:val="1"/>
    <w:next w:val="1"/>
    <w:qFormat/>
    <w:uiPriority w:val="0"/>
    <w:pPr>
      <w:keepNext/>
      <w:jc w:val="center"/>
      <w:outlineLvl w:val="1"/>
    </w:pPr>
    <w:rPr>
      <w:rFonts w:eastAsia="楷体_GB2312"/>
      <w:b/>
      <w:sz w:val="28"/>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3"/>
    <w:qFormat/>
    <w:uiPriority w:val="0"/>
    <w:pPr>
      <w:ind w:right="113"/>
    </w:pPr>
    <w:rPr>
      <w:sz w:val="18"/>
    </w:rPr>
  </w:style>
  <w:style w:type="paragraph" w:styleId="3">
    <w:name w:val="Quote"/>
    <w:basedOn w:val="1"/>
    <w:next w:val="1"/>
    <w:autoRedefine/>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paragraph" w:styleId="5">
    <w:name w:val="Body Text 2"/>
    <w:basedOn w:val="1"/>
    <w:autoRedefine/>
    <w:qFormat/>
    <w:uiPriority w:val="0"/>
    <w:pPr>
      <w:jc w:val="center"/>
    </w:pPr>
    <w:rPr>
      <w:spacing w:val="-32"/>
      <w:sz w:val="28"/>
    </w:rPr>
  </w:style>
  <w:style w:type="paragraph" w:customStyle="1" w:styleId="8">
    <w:name w:val="样式1"/>
    <w:basedOn w:val="1"/>
    <w:autoRedefine/>
    <w:qFormat/>
    <w:uiPriority w:val="0"/>
    <w:pPr>
      <w:ind w:firstLine="200" w:firstLineChars="200"/>
    </w:pPr>
    <w:rPr>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tiff"/><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20</Pages>
  <Words>7430</Words>
  <Characters>8373</Characters>
  <Lines>59</Lines>
  <Paragraphs>16</Paragraphs>
  <TotalTime>4</TotalTime>
  <ScaleCrop>false</ScaleCrop>
  <LinksUpToDate>false</LinksUpToDate>
  <CharactersWithSpaces>8464</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2024-01-26T02:01:00Z</dcterms:created>
  <dc:creator>夜殇</dc:creator>
  <cp:lastModifiedBy>Warren</cp:lastModifiedBy>
  <dcterms:modified xsi:type="dcterms:W3CDTF">2024-08-16T02:53:06Z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D048816F696849BB8C22198022A56506_12</vt:lpwstr>
  </property>
</Properties>
</file>